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BB" w:rsidRPr="001475BB" w:rsidRDefault="001475BB" w:rsidP="001475BB">
      <w:pPr>
        <w:spacing w:after="0" w:line="240" w:lineRule="auto"/>
        <w:rPr>
          <w:rFonts w:ascii="Arial" w:eastAsia="Times New Roman" w:hAnsi="Arial" w:cs="Arial"/>
          <w:sz w:val="32"/>
          <w:szCs w:val="32"/>
          <w:lang w:eastAsia="it-IT"/>
        </w:rPr>
      </w:pPr>
      <w:r w:rsidRPr="001475BB">
        <w:rPr>
          <w:rFonts w:ascii="Arial" w:eastAsia="Times New Roman" w:hAnsi="Arial" w:cs="Arial"/>
          <w:sz w:val="32"/>
          <w:szCs w:val="32"/>
          <w:lang w:eastAsia="it-IT"/>
        </w:rPr>
        <w:t xml:space="preserve">GRIGLIA CONTROLLO per il controllo successivo di regolarità </w:t>
      </w:r>
    </w:p>
    <w:p w:rsidR="001475BB" w:rsidRDefault="001475BB" w:rsidP="001475BB">
      <w:pPr>
        <w:spacing w:after="0" w:line="240" w:lineRule="auto"/>
        <w:rPr>
          <w:rFonts w:ascii="Arial" w:eastAsia="Times New Roman" w:hAnsi="Arial" w:cs="Arial"/>
          <w:sz w:val="32"/>
          <w:szCs w:val="32"/>
          <w:lang w:eastAsia="it-IT"/>
        </w:rPr>
      </w:pPr>
      <w:proofErr w:type="gramStart"/>
      <w:r w:rsidRPr="001475BB">
        <w:rPr>
          <w:rFonts w:ascii="Arial" w:eastAsia="Times New Roman" w:hAnsi="Arial" w:cs="Arial"/>
          <w:sz w:val="32"/>
          <w:szCs w:val="32"/>
          <w:lang w:eastAsia="it-IT"/>
        </w:rPr>
        <w:t>amministrativa</w:t>
      </w:r>
      <w:proofErr w:type="gramEnd"/>
      <w:r w:rsidRPr="001475BB">
        <w:rPr>
          <w:rFonts w:ascii="Arial" w:eastAsia="Times New Roman" w:hAnsi="Arial" w:cs="Arial"/>
          <w:sz w:val="32"/>
          <w:szCs w:val="32"/>
          <w:lang w:eastAsia="it-IT"/>
        </w:rPr>
        <w:t xml:space="preserve"> e contabile </w:t>
      </w:r>
      <w:r w:rsidR="00692E63">
        <w:rPr>
          <w:rFonts w:ascii="Arial" w:eastAsia="Times New Roman" w:hAnsi="Arial" w:cs="Arial"/>
          <w:sz w:val="32"/>
          <w:szCs w:val="32"/>
          <w:lang w:eastAsia="it-IT"/>
        </w:rPr>
        <w:t xml:space="preserve">DETERM. </w:t>
      </w:r>
      <w:proofErr w:type="spellStart"/>
      <w:r w:rsidR="006D5942">
        <w:rPr>
          <w:rFonts w:ascii="Arial" w:eastAsia="Times New Roman" w:hAnsi="Arial" w:cs="Arial"/>
          <w:sz w:val="32"/>
          <w:szCs w:val="32"/>
          <w:lang w:eastAsia="it-IT"/>
        </w:rPr>
        <w:t>LL</w:t>
      </w:r>
      <w:r w:rsidR="00E82883">
        <w:rPr>
          <w:rFonts w:ascii="Arial" w:eastAsia="Times New Roman" w:hAnsi="Arial" w:cs="Arial"/>
          <w:sz w:val="32"/>
          <w:szCs w:val="32"/>
          <w:lang w:eastAsia="it-IT"/>
        </w:rPr>
        <w:t>.pp.</w:t>
      </w:r>
      <w:proofErr w:type="spellEnd"/>
      <w:r w:rsidR="00692E63">
        <w:rPr>
          <w:rFonts w:ascii="Arial" w:eastAsia="Times New Roman" w:hAnsi="Arial" w:cs="Arial"/>
          <w:sz w:val="32"/>
          <w:szCs w:val="32"/>
          <w:lang w:eastAsia="it-IT"/>
        </w:rPr>
        <w:t xml:space="preserve"> n. </w:t>
      </w:r>
      <w:r w:rsidR="000069D6">
        <w:rPr>
          <w:rFonts w:ascii="Arial" w:eastAsia="Times New Roman" w:hAnsi="Arial" w:cs="Arial"/>
          <w:sz w:val="32"/>
          <w:szCs w:val="32"/>
          <w:lang w:eastAsia="it-IT"/>
        </w:rPr>
        <w:t>1</w:t>
      </w:r>
      <w:r w:rsidR="008D00D6">
        <w:rPr>
          <w:rFonts w:ascii="Arial" w:eastAsia="Times New Roman" w:hAnsi="Arial" w:cs="Arial"/>
          <w:sz w:val="32"/>
          <w:szCs w:val="32"/>
          <w:lang w:eastAsia="it-IT"/>
        </w:rPr>
        <w:t>6</w:t>
      </w:r>
      <w:r w:rsidR="00A37DD3">
        <w:rPr>
          <w:rFonts w:ascii="Arial" w:eastAsia="Times New Roman" w:hAnsi="Arial" w:cs="Arial"/>
          <w:sz w:val="32"/>
          <w:szCs w:val="32"/>
          <w:lang w:eastAsia="it-IT"/>
        </w:rPr>
        <w:t>6</w:t>
      </w:r>
      <w:r w:rsidR="00485041">
        <w:rPr>
          <w:rFonts w:ascii="Arial" w:eastAsia="Times New Roman" w:hAnsi="Arial" w:cs="Arial"/>
          <w:sz w:val="32"/>
          <w:szCs w:val="32"/>
          <w:lang w:eastAsia="it-IT"/>
        </w:rPr>
        <w:t xml:space="preserve"> </w:t>
      </w:r>
      <w:r w:rsidR="00E82883">
        <w:rPr>
          <w:rFonts w:ascii="Arial" w:eastAsia="Times New Roman" w:hAnsi="Arial" w:cs="Arial"/>
          <w:sz w:val="32"/>
          <w:szCs w:val="32"/>
          <w:lang w:eastAsia="it-IT"/>
        </w:rPr>
        <w:t xml:space="preserve">del </w:t>
      </w:r>
      <w:r w:rsidR="008D00D6">
        <w:rPr>
          <w:rFonts w:ascii="Arial" w:eastAsia="Times New Roman" w:hAnsi="Arial" w:cs="Arial"/>
          <w:sz w:val="32"/>
          <w:szCs w:val="32"/>
          <w:lang w:eastAsia="it-IT"/>
        </w:rPr>
        <w:t>20</w:t>
      </w:r>
      <w:r w:rsidR="00692E63">
        <w:rPr>
          <w:rFonts w:ascii="Arial" w:eastAsia="Times New Roman" w:hAnsi="Arial" w:cs="Arial"/>
          <w:sz w:val="32"/>
          <w:szCs w:val="32"/>
          <w:lang w:eastAsia="it-IT"/>
        </w:rPr>
        <w:t>.0</w:t>
      </w:r>
      <w:r w:rsidR="009D3CA5">
        <w:rPr>
          <w:rFonts w:ascii="Arial" w:eastAsia="Times New Roman" w:hAnsi="Arial" w:cs="Arial"/>
          <w:sz w:val="32"/>
          <w:szCs w:val="32"/>
          <w:lang w:eastAsia="it-IT"/>
        </w:rPr>
        <w:t>4</w:t>
      </w:r>
      <w:r w:rsidR="00692E63">
        <w:rPr>
          <w:rFonts w:ascii="Arial" w:eastAsia="Times New Roman" w:hAnsi="Arial" w:cs="Arial"/>
          <w:sz w:val="32"/>
          <w:szCs w:val="32"/>
          <w:lang w:eastAsia="it-IT"/>
        </w:rPr>
        <w:t>.2016</w:t>
      </w:r>
    </w:p>
    <w:tbl>
      <w:tblPr>
        <w:tblStyle w:val="Grigliatabella1"/>
        <w:tblW w:w="89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665"/>
        <w:gridCol w:w="8666"/>
      </w:tblGrid>
      <w:tr w:rsidR="00A37DD3" w:rsidRPr="001E6CD0" w:rsidTr="00A37DD3">
        <w:tc>
          <w:tcPr>
            <w:tcW w:w="2500" w:type="pct"/>
          </w:tcPr>
          <w:p w:rsidR="00A37DD3" w:rsidRPr="001E6CD0" w:rsidRDefault="001C5E75" w:rsidP="00A37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sz w:val="24"/>
                <w:szCs w:val="24"/>
              </w:rPr>
            </w:pPr>
            <w:r>
              <w:rPr>
                <w:b/>
                <w:bCs/>
              </w:rPr>
              <w:t>Modifica determina 482/2015</w:t>
            </w:r>
          </w:p>
        </w:tc>
        <w:tc>
          <w:tcPr>
            <w:tcW w:w="2500" w:type="pct"/>
          </w:tcPr>
          <w:p w:rsidR="00A37DD3" w:rsidRPr="001E6CD0" w:rsidRDefault="00A37DD3" w:rsidP="00A37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sz w:val="24"/>
                <w:szCs w:val="24"/>
              </w:rPr>
            </w:pPr>
          </w:p>
        </w:tc>
      </w:tr>
    </w:tbl>
    <w:tbl>
      <w:tblPr>
        <w:tblStyle w:val="Grigliatabella"/>
        <w:tblW w:w="0" w:type="auto"/>
        <w:tblLook w:val="04A0" w:firstRow="1" w:lastRow="0" w:firstColumn="1" w:lastColumn="0" w:noHBand="0" w:noVBand="1"/>
      </w:tblPr>
      <w:tblGrid>
        <w:gridCol w:w="7650"/>
        <w:gridCol w:w="1978"/>
      </w:tblGrid>
      <w:tr w:rsidR="00C73002" w:rsidTr="00C861C1">
        <w:tc>
          <w:tcPr>
            <w:tcW w:w="7763" w:type="dxa"/>
          </w:tcPr>
          <w:p w:rsidR="00C73002" w:rsidRPr="001475BB" w:rsidRDefault="00C73002" w:rsidP="00C861C1">
            <w:pPr>
              <w:rPr>
                <w:rFonts w:ascii="Arial" w:eastAsia="Times New Roman" w:hAnsi="Arial" w:cs="Arial"/>
                <w:sz w:val="24"/>
                <w:szCs w:val="24"/>
              </w:rPr>
            </w:pPr>
            <w:r w:rsidRPr="001475BB">
              <w:rPr>
                <w:rFonts w:ascii="Arial" w:eastAsia="Times New Roman" w:hAnsi="Arial" w:cs="Arial"/>
                <w:sz w:val="24"/>
                <w:szCs w:val="24"/>
              </w:rPr>
              <w:t>Anomalie riscontrate</w:t>
            </w:r>
          </w:p>
          <w:p w:rsidR="00C73002" w:rsidRDefault="00C73002" w:rsidP="00C861C1"/>
        </w:tc>
        <w:tc>
          <w:tcPr>
            <w:tcW w:w="2015" w:type="dxa"/>
          </w:tcPr>
          <w:p w:rsidR="00C73002" w:rsidRPr="001475BB" w:rsidRDefault="00C73002" w:rsidP="00C861C1">
            <w:pPr>
              <w:rPr>
                <w:rFonts w:ascii="Arial" w:eastAsia="Times New Roman" w:hAnsi="Arial" w:cs="Arial"/>
                <w:sz w:val="20"/>
                <w:szCs w:val="20"/>
              </w:rPr>
            </w:pPr>
            <w:r w:rsidRPr="001475BB">
              <w:rPr>
                <w:rFonts w:ascii="Arial" w:eastAsia="Times New Roman" w:hAnsi="Arial" w:cs="Arial"/>
                <w:sz w:val="20"/>
                <w:szCs w:val="20"/>
              </w:rPr>
              <w:t>X</w:t>
            </w:r>
          </w:p>
          <w:p w:rsidR="00C73002" w:rsidRDefault="00C73002" w:rsidP="00C861C1"/>
        </w:tc>
      </w:tr>
      <w:tr w:rsidR="00C73002" w:rsidTr="00C861C1">
        <w:tc>
          <w:tcPr>
            <w:tcW w:w="7763" w:type="dxa"/>
          </w:tcPr>
          <w:p w:rsidR="00C73002" w:rsidRPr="00B35951" w:rsidRDefault="00C73002" w:rsidP="00C861C1">
            <w:pPr>
              <w:rPr>
                <w:rFonts w:ascii="Arial" w:eastAsia="Times New Roman" w:hAnsi="Arial" w:cs="Arial"/>
                <w:b/>
              </w:rPr>
            </w:pPr>
            <w:r w:rsidRPr="00B35951">
              <w:rPr>
                <w:rFonts w:ascii="Arial" w:eastAsia="Times New Roman" w:hAnsi="Arial" w:cs="Arial"/>
                <w:b/>
              </w:rPr>
              <w:t>Oggetto</w:t>
            </w:r>
          </w:p>
          <w:p w:rsidR="00C73002" w:rsidRPr="00B35951" w:rsidRDefault="00C73002" w:rsidP="00C861C1">
            <w:pPr>
              <w:rPr>
                <w:b/>
              </w:rPr>
            </w:pPr>
          </w:p>
        </w:tc>
        <w:tc>
          <w:tcPr>
            <w:tcW w:w="2015" w:type="dxa"/>
          </w:tcPr>
          <w:p w:rsidR="00C73002" w:rsidRDefault="00C73002" w:rsidP="00C861C1"/>
        </w:tc>
      </w:tr>
      <w:tr w:rsidR="00C73002" w:rsidTr="00C861C1">
        <w:tc>
          <w:tcPr>
            <w:tcW w:w="7763" w:type="dxa"/>
          </w:tcPr>
          <w:p w:rsidR="00C73002" w:rsidRDefault="00C73002" w:rsidP="00C861C1">
            <w:pPr>
              <w:pStyle w:val="Paragrafoelenco"/>
              <w:numPr>
                <w:ilvl w:val="0"/>
                <w:numId w:val="1"/>
              </w:numPr>
            </w:pPr>
            <w:proofErr w:type="gramStart"/>
            <w:r w:rsidRPr="001475BB">
              <w:rPr>
                <w:rFonts w:ascii="Arial" w:eastAsia="Times New Roman" w:hAnsi="Arial" w:cs="Arial"/>
                <w:sz w:val="20"/>
                <w:szCs w:val="20"/>
              </w:rPr>
              <w:t>non</w:t>
            </w:r>
            <w:proofErr w:type="gramEnd"/>
            <w:r w:rsidRPr="001475BB">
              <w:rPr>
                <w:rFonts w:ascii="Arial" w:eastAsia="Times New Roman" w:hAnsi="Arial" w:cs="Arial"/>
                <w:sz w:val="20"/>
                <w:szCs w:val="20"/>
              </w:rPr>
              <w:t xml:space="preserve"> riassume i principali elementi della decisione adottata (dispositivo)</w:t>
            </w:r>
          </w:p>
        </w:tc>
        <w:tc>
          <w:tcPr>
            <w:tcW w:w="2015" w:type="dxa"/>
          </w:tcPr>
          <w:p w:rsidR="00C73002" w:rsidRDefault="00C73002" w:rsidP="00C861C1"/>
        </w:tc>
      </w:tr>
      <w:tr w:rsidR="00C73002" w:rsidTr="00C861C1">
        <w:tc>
          <w:tcPr>
            <w:tcW w:w="7763" w:type="dxa"/>
          </w:tcPr>
          <w:p w:rsidR="00C73002" w:rsidRDefault="00C73002" w:rsidP="00C861C1">
            <w:pPr>
              <w:pStyle w:val="Paragrafoelenco"/>
              <w:numPr>
                <w:ilvl w:val="0"/>
                <w:numId w:val="1"/>
              </w:numPr>
            </w:pPr>
            <w:proofErr w:type="gramStart"/>
            <w:r w:rsidRPr="001475BB">
              <w:rPr>
                <w:rFonts w:ascii="Arial" w:eastAsia="Times New Roman" w:hAnsi="Arial" w:cs="Arial"/>
                <w:sz w:val="20"/>
                <w:szCs w:val="20"/>
              </w:rPr>
              <w:t>non</w:t>
            </w:r>
            <w:proofErr w:type="gramEnd"/>
            <w:r w:rsidRPr="001475BB">
              <w:rPr>
                <w:rFonts w:ascii="Arial" w:eastAsia="Times New Roman" w:hAnsi="Arial" w:cs="Arial"/>
                <w:sz w:val="20"/>
                <w:szCs w:val="20"/>
              </w:rPr>
              <w:t xml:space="preserve"> indica i soggetti eventualmente interessati dal provvedimento</w:t>
            </w:r>
          </w:p>
        </w:tc>
        <w:tc>
          <w:tcPr>
            <w:tcW w:w="2015" w:type="dxa"/>
          </w:tcPr>
          <w:p w:rsidR="00C73002" w:rsidRDefault="00C73002" w:rsidP="00C861C1"/>
        </w:tc>
      </w:tr>
      <w:tr w:rsidR="00C73002" w:rsidTr="00C861C1">
        <w:tc>
          <w:tcPr>
            <w:tcW w:w="7763" w:type="dxa"/>
          </w:tcPr>
          <w:p w:rsidR="00C73002" w:rsidRDefault="00C73002" w:rsidP="00C861C1">
            <w:pPr>
              <w:pStyle w:val="Paragrafoelenco"/>
              <w:numPr>
                <w:ilvl w:val="0"/>
                <w:numId w:val="1"/>
              </w:numPr>
            </w:pPr>
            <w:proofErr w:type="gramStart"/>
            <w:r w:rsidRPr="001475BB">
              <w:rPr>
                <w:rFonts w:ascii="Arial" w:eastAsia="Times New Roman" w:hAnsi="Arial" w:cs="Arial"/>
                <w:sz w:val="20"/>
                <w:szCs w:val="20"/>
              </w:rPr>
              <w:t>non</w:t>
            </w:r>
            <w:proofErr w:type="gramEnd"/>
            <w:r w:rsidRPr="001475BB">
              <w:rPr>
                <w:rFonts w:ascii="Arial" w:eastAsia="Times New Roman" w:hAnsi="Arial" w:cs="Arial"/>
                <w:sz w:val="20"/>
                <w:szCs w:val="20"/>
              </w:rPr>
              <w:t xml:space="preserve"> rispetta le forme di tutela della privacy (ove necessario)</w:t>
            </w:r>
          </w:p>
        </w:tc>
        <w:tc>
          <w:tcPr>
            <w:tcW w:w="2015" w:type="dxa"/>
          </w:tcPr>
          <w:p w:rsidR="00C73002" w:rsidRDefault="00C73002" w:rsidP="00C861C1"/>
        </w:tc>
      </w:tr>
      <w:tr w:rsidR="00C73002" w:rsidTr="00C861C1">
        <w:tc>
          <w:tcPr>
            <w:tcW w:w="7763" w:type="dxa"/>
          </w:tcPr>
          <w:p w:rsidR="00C73002" w:rsidRDefault="00C73002" w:rsidP="00C861C1">
            <w:pPr>
              <w:pStyle w:val="Paragrafoelenco"/>
              <w:numPr>
                <w:ilvl w:val="0"/>
                <w:numId w:val="1"/>
              </w:numPr>
            </w:pPr>
            <w:proofErr w:type="gramStart"/>
            <w:r w:rsidRPr="0006627D">
              <w:rPr>
                <w:rFonts w:ascii="Arial" w:eastAsia="Times New Roman" w:hAnsi="Arial" w:cs="Arial"/>
                <w:sz w:val="20"/>
                <w:szCs w:val="20"/>
              </w:rPr>
              <w:t>non</w:t>
            </w:r>
            <w:proofErr w:type="gramEnd"/>
            <w:r w:rsidRPr="0006627D">
              <w:rPr>
                <w:rFonts w:ascii="Arial" w:eastAsia="Times New Roman" w:hAnsi="Arial" w:cs="Arial"/>
                <w:sz w:val="20"/>
                <w:szCs w:val="20"/>
              </w:rPr>
              <w:t xml:space="preserve"> indica correttamente l’importo (ove necessario)</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 xml:space="preserve">Il provvedimento non è coerente con il Piano Esecutivo di Gestione e delle Performance </w:t>
            </w:r>
          </w:p>
        </w:tc>
        <w:tc>
          <w:tcPr>
            <w:tcW w:w="2015" w:type="dxa"/>
          </w:tcPr>
          <w:p w:rsidR="00C73002" w:rsidRDefault="00C73002" w:rsidP="00C861C1"/>
        </w:tc>
      </w:tr>
      <w:tr w:rsidR="00C73002" w:rsidTr="00C861C1">
        <w:tc>
          <w:tcPr>
            <w:tcW w:w="7763" w:type="dxa"/>
          </w:tcPr>
          <w:p w:rsidR="00C73002" w:rsidRPr="00B35951" w:rsidRDefault="00C73002" w:rsidP="00C861C1">
            <w:pPr>
              <w:rPr>
                <w:b/>
              </w:rPr>
            </w:pPr>
            <w:r w:rsidRPr="00B35951">
              <w:rPr>
                <w:rFonts w:ascii="Arial" w:eastAsia="Times New Roman" w:hAnsi="Arial" w:cs="Arial"/>
                <w:b/>
              </w:rPr>
              <w:t>Motivazione - Presupposti di fatto e di diritto</w:t>
            </w:r>
          </w:p>
        </w:tc>
        <w:tc>
          <w:tcPr>
            <w:tcW w:w="2015" w:type="dxa"/>
          </w:tcPr>
          <w:p w:rsidR="00C73002" w:rsidRDefault="00C73002" w:rsidP="00C861C1"/>
        </w:tc>
      </w:tr>
      <w:tr w:rsidR="00C73002" w:rsidTr="00C861C1">
        <w:tc>
          <w:tcPr>
            <w:tcW w:w="7763" w:type="dxa"/>
          </w:tcPr>
          <w:p w:rsidR="00C73002" w:rsidRPr="001475BB" w:rsidRDefault="00C73002" w:rsidP="00C861C1">
            <w:pPr>
              <w:rPr>
                <w:rFonts w:ascii="Arial" w:eastAsia="Times New Roman" w:hAnsi="Arial" w:cs="Arial"/>
                <w:sz w:val="20"/>
                <w:szCs w:val="20"/>
              </w:rPr>
            </w:pPr>
            <w:r w:rsidRPr="001475BB">
              <w:rPr>
                <w:rFonts w:ascii="Arial" w:eastAsia="Times New Roman" w:hAnsi="Arial" w:cs="Arial"/>
                <w:sz w:val="20"/>
                <w:szCs w:val="20"/>
              </w:rPr>
              <w:t>Manca o è carente la descrizione del contesto in relazione alla quale si adotta</w:t>
            </w:r>
          </w:p>
          <w:p w:rsidR="00C73002" w:rsidRDefault="00C73002" w:rsidP="00C861C1">
            <w:proofErr w:type="gramStart"/>
            <w:r w:rsidRPr="001475BB">
              <w:rPr>
                <w:rFonts w:ascii="Arial" w:eastAsia="Times New Roman" w:hAnsi="Arial" w:cs="Arial"/>
                <w:sz w:val="20"/>
                <w:szCs w:val="20"/>
              </w:rPr>
              <w:t>l’atto</w:t>
            </w:r>
            <w:proofErr w:type="gramEnd"/>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Non sono indicate le ragioni specifiche per le quali deve essere adottato il provvedimento</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Mancato o errato richiamo di leggi statali e regionali, statuto, regolamenti, mancato richiamo al bilancio di previsione e al PEG, a precedenti delibera</w:t>
            </w:r>
            <w:r>
              <w:rPr>
                <w:rFonts w:ascii="Arial" w:eastAsia="Times New Roman" w:hAnsi="Arial" w:cs="Arial"/>
                <w:sz w:val="20"/>
                <w:szCs w:val="20"/>
              </w:rPr>
              <w:t>z</w:t>
            </w:r>
            <w:r w:rsidRPr="001475BB">
              <w:rPr>
                <w:rFonts w:ascii="Arial" w:eastAsia="Times New Roman" w:hAnsi="Arial" w:cs="Arial"/>
                <w:sz w:val="20"/>
                <w:szCs w:val="20"/>
              </w:rPr>
              <w:t>ioni/determinazioni a cui si richiama la decisione</w:t>
            </w:r>
          </w:p>
        </w:tc>
        <w:tc>
          <w:tcPr>
            <w:tcW w:w="2015" w:type="dxa"/>
          </w:tcPr>
          <w:p w:rsidR="00C73002" w:rsidRDefault="005777BC" w:rsidP="00C861C1">
            <w:proofErr w:type="gramStart"/>
            <w:r>
              <w:t>x</w:t>
            </w:r>
            <w:proofErr w:type="gramEnd"/>
          </w:p>
        </w:tc>
      </w:tr>
      <w:tr w:rsidR="00C73002" w:rsidTr="00C861C1">
        <w:tc>
          <w:tcPr>
            <w:tcW w:w="7763" w:type="dxa"/>
          </w:tcPr>
          <w:p w:rsidR="00C73002" w:rsidRDefault="00C73002" w:rsidP="00C861C1">
            <w:r w:rsidRPr="001475BB">
              <w:rPr>
                <w:rFonts w:ascii="Arial" w:eastAsia="Times New Roman" w:hAnsi="Arial" w:cs="Arial"/>
                <w:sz w:val="20"/>
                <w:szCs w:val="20"/>
              </w:rPr>
              <w:t>Non è esplicitata chiaramente la correlazione tra i presupposti di fatto e i presupposti normativi</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Non è esplicitata chiaramente la volontà dell’amministrazione a provvedere</w:t>
            </w:r>
          </w:p>
        </w:tc>
        <w:tc>
          <w:tcPr>
            <w:tcW w:w="2015" w:type="dxa"/>
          </w:tcPr>
          <w:p w:rsidR="00C73002" w:rsidRDefault="00C73002" w:rsidP="00C861C1"/>
        </w:tc>
      </w:tr>
      <w:tr w:rsidR="00C73002" w:rsidTr="00C861C1">
        <w:tc>
          <w:tcPr>
            <w:tcW w:w="7763" w:type="dxa"/>
          </w:tcPr>
          <w:p w:rsidR="00C73002" w:rsidRPr="001475BB" w:rsidRDefault="00C73002" w:rsidP="00C861C1">
            <w:pPr>
              <w:rPr>
                <w:rFonts w:ascii="Arial" w:eastAsia="Times New Roman" w:hAnsi="Arial" w:cs="Arial"/>
                <w:sz w:val="20"/>
                <w:szCs w:val="20"/>
              </w:rPr>
            </w:pPr>
            <w:r w:rsidRPr="001475BB">
              <w:rPr>
                <w:rFonts w:ascii="Arial" w:eastAsia="Times New Roman" w:hAnsi="Arial" w:cs="Arial"/>
                <w:sz w:val="20"/>
                <w:szCs w:val="20"/>
              </w:rPr>
              <w:t xml:space="preserve">Non sono precisate le </w:t>
            </w:r>
          </w:p>
          <w:p w:rsidR="00C73002" w:rsidRDefault="00C73002" w:rsidP="00C861C1">
            <w:proofErr w:type="gramStart"/>
            <w:r w:rsidRPr="001475BB">
              <w:rPr>
                <w:rFonts w:ascii="Arial" w:eastAsia="Times New Roman" w:hAnsi="Arial" w:cs="Arial"/>
                <w:sz w:val="20"/>
                <w:szCs w:val="20"/>
              </w:rPr>
              <w:t>modalità</w:t>
            </w:r>
            <w:proofErr w:type="gramEnd"/>
            <w:r w:rsidRPr="001475BB">
              <w:rPr>
                <w:rFonts w:ascii="Arial" w:eastAsia="Times New Roman" w:hAnsi="Arial" w:cs="Arial"/>
                <w:sz w:val="20"/>
                <w:szCs w:val="20"/>
              </w:rPr>
              <w:t xml:space="preserve"> concrete di realizzazione dell’intervento</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Non è individuato chiaramente il soggetto rispetto al quale il provvedimento è adottato</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Manca di supporto documentale</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 xml:space="preserve">Mancano i riferimenti alle convenzioni CONSIP (per acquisto di beni e servizi) </w:t>
            </w:r>
            <w:r>
              <w:rPr>
                <w:rFonts w:ascii="Arial" w:eastAsia="Times New Roman" w:hAnsi="Arial" w:cs="Arial"/>
                <w:sz w:val="20"/>
                <w:szCs w:val="20"/>
              </w:rPr>
              <w:t>al MEPA</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Mancano i termini per presentare il ricorso e l’autorità competente</w:t>
            </w:r>
            <w:r>
              <w:rPr>
                <w:rFonts w:ascii="Arial" w:eastAsia="Times New Roman" w:hAnsi="Arial" w:cs="Arial"/>
                <w:sz w:val="20"/>
                <w:szCs w:val="20"/>
              </w:rPr>
              <w:t xml:space="preserve"> </w:t>
            </w:r>
            <w:proofErr w:type="gramStart"/>
            <w:r>
              <w:rPr>
                <w:rFonts w:ascii="Arial" w:eastAsia="Times New Roman" w:hAnsi="Arial" w:cs="Arial"/>
                <w:sz w:val="20"/>
                <w:szCs w:val="20"/>
              </w:rPr>
              <w:t>( ove</w:t>
            </w:r>
            <w:proofErr w:type="gramEnd"/>
            <w:r>
              <w:rPr>
                <w:rFonts w:ascii="Arial" w:eastAsia="Times New Roman" w:hAnsi="Arial" w:cs="Arial"/>
                <w:sz w:val="20"/>
                <w:szCs w:val="20"/>
              </w:rPr>
              <w:t xml:space="preserve"> sia necessario apporli)</w:t>
            </w:r>
          </w:p>
        </w:tc>
        <w:tc>
          <w:tcPr>
            <w:tcW w:w="2015" w:type="dxa"/>
          </w:tcPr>
          <w:p w:rsidR="00C73002" w:rsidRDefault="00C73002" w:rsidP="00C861C1"/>
        </w:tc>
      </w:tr>
      <w:tr w:rsidR="00C73002" w:rsidRPr="00E24B7D" w:rsidTr="00C861C1">
        <w:trPr>
          <w:trHeight w:val="735"/>
        </w:trPr>
        <w:tc>
          <w:tcPr>
            <w:tcW w:w="7763" w:type="dxa"/>
          </w:tcPr>
          <w:p w:rsidR="00C73002" w:rsidRPr="00B307A6" w:rsidRDefault="00C73002" w:rsidP="00C861C1">
            <w:pPr>
              <w:rPr>
                <w:rFonts w:ascii="Arial" w:eastAsia="Times New Roman" w:hAnsi="Arial" w:cs="Arial"/>
                <w:sz w:val="20"/>
                <w:szCs w:val="20"/>
              </w:rPr>
            </w:pPr>
          </w:p>
          <w:p w:rsidR="00C73002" w:rsidRPr="00B307A6" w:rsidRDefault="00C73002" w:rsidP="00C861C1">
            <w:pPr>
              <w:rPr>
                <w:sz w:val="20"/>
                <w:szCs w:val="20"/>
              </w:rPr>
            </w:pPr>
            <w:proofErr w:type="gramStart"/>
            <w:r w:rsidRPr="00B307A6">
              <w:rPr>
                <w:rFonts w:ascii="Arial" w:eastAsia="Times New Roman" w:hAnsi="Arial" w:cs="Arial"/>
                <w:sz w:val="20"/>
                <w:szCs w:val="20"/>
              </w:rPr>
              <w:t>manca</w:t>
            </w:r>
            <w:proofErr w:type="gramEnd"/>
            <w:r w:rsidRPr="00B307A6">
              <w:rPr>
                <w:rFonts w:ascii="Arial" w:eastAsia="Times New Roman" w:hAnsi="Arial" w:cs="Arial"/>
                <w:sz w:val="20"/>
                <w:szCs w:val="20"/>
              </w:rPr>
              <w:t xml:space="preserve"> il </w:t>
            </w:r>
            <w:proofErr w:type="spellStart"/>
            <w:r w:rsidRPr="00B307A6">
              <w:rPr>
                <w:rFonts w:ascii="Arial" w:eastAsia="Times New Roman" w:hAnsi="Arial" w:cs="Arial"/>
                <w:sz w:val="20"/>
                <w:szCs w:val="20"/>
              </w:rPr>
              <w:t>durc</w:t>
            </w:r>
            <w:proofErr w:type="spellEnd"/>
            <w:r w:rsidRPr="00B307A6">
              <w:rPr>
                <w:rFonts w:ascii="Arial" w:eastAsia="Times New Roman" w:hAnsi="Arial" w:cs="Arial"/>
                <w:sz w:val="20"/>
                <w:szCs w:val="20"/>
              </w:rPr>
              <w:t xml:space="preserve"> e/o il conto corrente dedicato</w:t>
            </w:r>
          </w:p>
        </w:tc>
        <w:tc>
          <w:tcPr>
            <w:tcW w:w="2015" w:type="dxa"/>
          </w:tcPr>
          <w:p w:rsidR="00C73002" w:rsidRPr="00E24B7D" w:rsidRDefault="00C73002" w:rsidP="00C861C1"/>
        </w:tc>
      </w:tr>
      <w:tr w:rsidR="00C73002" w:rsidRPr="00E24B7D" w:rsidTr="00C861C1">
        <w:trPr>
          <w:trHeight w:val="735"/>
        </w:trPr>
        <w:tc>
          <w:tcPr>
            <w:tcW w:w="7763" w:type="dxa"/>
          </w:tcPr>
          <w:p w:rsidR="00C73002" w:rsidRPr="00B307A6" w:rsidRDefault="00C73002" w:rsidP="00C861C1">
            <w:pPr>
              <w:rPr>
                <w:rFonts w:ascii="Arial" w:eastAsia="Times New Roman" w:hAnsi="Arial" w:cs="Arial"/>
                <w:sz w:val="20"/>
                <w:szCs w:val="20"/>
              </w:rPr>
            </w:pPr>
            <w:r w:rsidRPr="00B307A6">
              <w:rPr>
                <w:rFonts w:ascii="Arial" w:eastAsia="Times New Roman" w:hAnsi="Arial" w:cs="Arial"/>
                <w:sz w:val="20"/>
                <w:szCs w:val="20"/>
              </w:rPr>
              <w:t>Manca il CIG</w:t>
            </w:r>
          </w:p>
        </w:tc>
        <w:tc>
          <w:tcPr>
            <w:tcW w:w="2015" w:type="dxa"/>
          </w:tcPr>
          <w:p w:rsidR="00C73002" w:rsidRPr="00E24B7D" w:rsidRDefault="00C73002" w:rsidP="00C861C1"/>
        </w:tc>
      </w:tr>
      <w:tr w:rsidR="002872BC" w:rsidRPr="00E24B7D" w:rsidTr="00C861C1">
        <w:trPr>
          <w:trHeight w:val="735"/>
        </w:trPr>
        <w:tc>
          <w:tcPr>
            <w:tcW w:w="7763" w:type="dxa"/>
          </w:tcPr>
          <w:p w:rsidR="002872BC" w:rsidRPr="00B307A6" w:rsidRDefault="002872BC" w:rsidP="00C861C1">
            <w:pPr>
              <w:rPr>
                <w:rFonts w:ascii="Arial" w:eastAsia="Times New Roman" w:hAnsi="Arial" w:cs="Arial"/>
                <w:sz w:val="20"/>
                <w:szCs w:val="20"/>
              </w:rPr>
            </w:pPr>
            <w:r>
              <w:rPr>
                <w:rFonts w:ascii="Arial" w:eastAsia="Times New Roman" w:hAnsi="Arial" w:cs="Arial"/>
                <w:sz w:val="20"/>
                <w:szCs w:val="20"/>
              </w:rPr>
              <w:t xml:space="preserve">MANCA controllo </w:t>
            </w:r>
            <w:proofErr w:type="spellStart"/>
            <w:r>
              <w:rPr>
                <w:rFonts w:ascii="Arial" w:eastAsia="Times New Roman" w:hAnsi="Arial" w:cs="Arial"/>
                <w:sz w:val="20"/>
                <w:szCs w:val="20"/>
              </w:rPr>
              <w:t>equitalia</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 per</w:t>
            </w:r>
            <w:proofErr w:type="gramEnd"/>
            <w:r>
              <w:rPr>
                <w:rFonts w:ascii="Arial" w:eastAsia="Times New Roman" w:hAnsi="Arial" w:cs="Arial"/>
                <w:sz w:val="20"/>
                <w:szCs w:val="20"/>
              </w:rPr>
              <w:t xml:space="preserve"> importi da liquidare superiori a 10.000 euro</w:t>
            </w:r>
          </w:p>
        </w:tc>
        <w:tc>
          <w:tcPr>
            <w:tcW w:w="2015" w:type="dxa"/>
          </w:tcPr>
          <w:p w:rsidR="002872BC" w:rsidRPr="00E24B7D" w:rsidRDefault="002872BC" w:rsidP="00C861C1"/>
        </w:tc>
      </w:tr>
      <w:tr w:rsidR="00C73002" w:rsidTr="00C861C1">
        <w:trPr>
          <w:trHeight w:val="735"/>
        </w:trPr>
        <w:tc>
          <w:tcPr>
            <w:tcW w:w="7763" w:type="dxa"/>
          </w:tcPr>
          <w:p w:rsidR="00C73002" w:rsidRPr="001475BB" w:rsidRDefault="00C73002" w:rsidP="00C861C1">
            <w:pPr>
              <w:rPr>
                <w:rFonts w:ascii="Arial" w:eastAsia="Times New Roman" w:hAnsi="Arial" w:cs="Arial"/>
              </w:rPr>
            </w:pPr>
            <w:r w:rsidRPr="001475BB">
              <w:rPr>
                <w:rFonts w:ascii="Arial" w:eastAsia="Times New Roman" w:hAnsi="Arial" w:cs="Arial"/>
                <w:sz w:val="20"/>
                <w:szCs w:val="20"/>
              </w:rPr>
              <w:t xml:space="preserve">Non sono riportati tutti i pareri e le attestazioni necessarie per la </w:t>
            </w:r>
            <w:proofErr w:type="gramStart"/>
            <w:r w:rsidRPr="001475BB">
              <w:rPr>
                <w:rFonts w:ascii="Arial" w:eastAsia="Times New Roman" w:hAnsi="Arial" w:cs="Arial"/>
                <w:sz w:val="20"/>
                <w:szCs w:val="20"/>
              </w:rPr>
              <w:t xml:space="preserve">corretta </w:t>
            </w:r>
            <w:r>
              <w:rPr>
                <w:rFonts w:ascii="Arial" w:eastAsia="Times New Roman" w:hAnsi="Arial" w:cs="Arial"/>
                <w:sz w:val="20"/>
                <w:szCs w:val="20"/>
              </w:rPr>
              <w:t xml:space="preserve"> i</w:t>
            </w:r>
            <w:r w:rsidRPr="001475BB">
              <w:rPr>
                <w:rFonts w:ascii="Arial" w:eastAsia="Times New Roman" w:hAnsi="Arial" w:cs="Arial"/>
                <w:sz w:val="20"/>
                <w:szCs w:val="20"/>
              </w:rPr>
              <w:t>mpostazione</w:t>
            </w:r>
            <w:proofErr w:type="gramEnd"/>
            <w:r w:rsidRPr="001475BB">
              <w:rPr>
                <w:rFonts w:ascii="Arial" w:eastAsia="Times New Roman" w:hAnsi="Arial" w:cs="Arial"/>
                <w:sz w:val="20"/>
                <w:szCs w:val="20"/>
              </w:rPr>
              <w:t xml:space="preserve"> dell’istruttoria</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Manca il visto di regolarità contabile</w:t>
            </w:r>
          </w:p>
        </w:tc>
        <w:tc>
          <w:tcPr>
            <w:tcW w:w="2015" w:type="dxa"/>
          </w:tcPr>
          <w:p w:rsidR="00C73002" w:rsidRDefault="00C73002" w:rsidP="00C861C1"/>
        </w:tc>
      </w:tr>
      <w:tr w:rsidR="00C73002" w:rsidTr="00C861C1">
        <w:tc>
          <w:tcPr>
            <w:tcW w:w="7763" w:type="dxa"/>
          </w:tcPr>
          <w:p w:rsidR="00C73002" w:rsidRPr="00B35951" w:rsidRDefault="00C73002" w:rsidP="00C861C1">
            <w:pPr>
              <w:rPr>
                <w:b/>
              </w:rPr>
            </w:pPr>
            <w:r w:rsidRPr="00B35951">
              <w:rPr>
                <w:rFonts w:ascii="Arial" w:eastAsia="Times New Roman" w:hAnsi="Arial" w:cs="Arial"/>
                <w:b/>
              </w:rPr>
              <w:t>Dispositivo</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Non esplicita chiaramente la decisione e tutti gli elementi complementari quali la modalità di esecuzione della stessa, i riferimenti ai soggetti interessati</w:t>
            </w:r>
          </w:p>
        </w:tc>
        <w:tc>
          <w:tcPr>
            <w:tcW w:w="2015" w:type="dxa"/>
          </w:tcPr>
          <w:p w:rsidR="00C73002" w:rsidRDefault="00C73002" w:rsidP="00C861C1"/>
        </w:tc>
      </w:tr>
      <w:tr w:rsidR="00C73002" w:rsidTr="00C861C1">
        <w:tc>
          <w:tcPr>
            <w:tcW w:w="7763" w:type="dxa"/>
          </w:tcPr>
          <w:p w:rsidR="00C73002" w:rsidRPr="001475BB" w:rsidRDefault="00C73002" w:rsidP="00C861C1">
            <w:pPr>
              <w:rPr>
                <w:rFonts w:ascii="Arial" w:eastAsia="Times New Roman" w:hAnsi="Arial" w:cs="Arial"/>
                <w:sz w:val="20"/>
                <w:szCs w:val="20"/>
              </w:rPr>
            </w:pPr>
            <w:r w:rsidRPr="001475BB">
              <w:rPr>
                <w:rFonts w:ascii="Arial" w:eastAsia="Times New Roman" w:hAnsi="Arial" w:cs="Arial"/>
                <w:sz w:val="20"/>
                <w:szCs w:val="20"/>
              </w:rPr>
              <w:t xml:space="preserve">Non consente un immediato e chiaro collegamento con l’iter logico esplicitato in </w:t>
            </w:r>
          </w:p>
          <w:p w:rsidR="00C73002" w:rsidRDefault="00C73002" w:rsidP="00C861C1">
            <w:proofErr w:type="gramStart"/>
            <w:r w:rsidRPr="001475BB">
              <w:rPr>
                <w:rFonts w:ascii="Arial" w:eastAsia="Times New Roman" w:hAnsi="Arial" w:cs="Arial"/>
                <w:sz w:val="20"/>
                <w:szCs w:val="20"/>
              </w:rPr>
              <w:t>premessa</w:t>
            </w:r>
            <w:proofErr w:type="gramEnd"/>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 xml:space="preserve">Non rende conto, dettagliatamente, degli elementi già considerati e delle componenti contabili </w:t>
            </w:r>
          </w:p>
        </w:tc>
        <w:tc>
          <w:tcPr>
            <w:tcW w:w="2015" w:type="dxa"/>
          </w:tcPr>
          <w:p w:rsidR="00C73002" w:rsidRDefault="00C73002" w:rsidP="00C861C1"/>
        </w:tc>
      </w:tr>
      <w:tr w:rsidR="00C73002" w:rsidTr="00C861C1">
        <w:tc>
          <w:tcPr>
            <w:tcW w:w="7763" w:type="dxa"/>
          </w:tcPr>
          <w:p w:rsidR="00C73002" w:rsidRDefault="00C73002" w:rsidP="00C861C1">
            <w:r>
              <w:rPr>
                <w:rFonts w:ascii="Arial" w:eastAsia="Times New Roman" w:hAnsi="Arial" w:cs="Arial"/>
              </w:rPr>
              <w:t>Non appaiono rispettati i termini di conclusione del procedimento</w:t>
            </w:r>
          </w:p>
        </w:tc>
        <w:tc>
          <w:tcPr>
            <w:tcW w:w="2015" w:type="dxa"/>
          </w:tcPr>
          <w:p w:rsidR="00C73002" w:rsidRDefault="00C73002" w:rsidP="00E07036"/>
        </w:tc>
      </w:tr>
      <w:tr w:rsidR="00C73002" w:rsidTr="00C861C1">
        <w:tc>
          <w:tcPr>
            <w:tcW w:w="7763" w:type="dxa"/>
          </w:tcPr>
          <w:p w:rsidR="00C73002" w:rsidRPr="00B35951" w:rsidRDefault="00C73002" w:rsidP="00C861C1">
            <w:pPr>
              <w:rPr>
                <w:b/>
              </w:rPr>
            </w:pPr>
            <w:r w:rsidRPr="00B35951">
              <w:rPr>
                <w:b/>
              </w:rPr>
              <w:t>Pubblicazione</w:t>
            </w:r>
          </w:p>
        </w:tc>
        <w:tc>
          <w:tcPr>
            <w:tcW w:w="2015" w:type="dxa"/>
          </w:tcPr>
          <w:p w:rsidR="00C73002" w:rsidRDefault="00C73002" w:rsidP="00C861C1"/>
        </w:tc>
      </w:tr>
      <w:tr w:rsidR="00C73002" w:rsidTr="00C861C1">
        <w:tc>
          <w:tcPr>
            <w:tcW w:w="7763" w:type="dxa"/>
          </w:tcPr>
          <w:p w:rsidR="00C73002" w:rsidRDefault="00C73002" w:rsidP="00C861C1">
            <w:r>
              <w:lastRenderedPageBreak/>
              <w:t xml:space="preserve">Mancata esplicitazione dell’adempimento di cui agli artt. 26 e 27 </w:t>
            </w:r>
            <w:proofErr w:type="spellStart"/>
            <w:r>
              <w:t>D.lgs</w:t>
            </w:r>
            <w:proofErr w:type="spellEnd"/>
            <w:r>
              <w:t xml:space="preserve"> 33/2013</w:t>
            </w:r>
          </w:p>
        </w:tc>
        <w:tc>
          <w:tcPr>
            <w:tcW w:w="2015" w:type="dxa"/>
          </w:tcPr>
          <w:p w:rsidR="00C73002" w:rsidRDefault="00C73002" w:rsidP="00C861C1"/>
        </w:tc>
      </w:tr>
    </w:tbl>
    <w:p w:rsidR="009052A4" w:rsidRDefault="00C73002" w:rsidP="0011209A">
      <w:pPr>
        <w:jc w:val="both"/>
      </w:pPr>
      <w:r>
        <w:t>Osservazioni</w:t>
      </w:r>
      <w:r w:rsidR="005777BC">
        <w:t xml:space="preserve">: L’atto non è conforme al nuovo regolamento adottato nel 2015 che prevede:  </w:t>
      </w:r>
    </w:p>
    <w:p w:rsidR="0011209A" w:rsidRPr="0011209A" w:rsidRDefault="009052A4" w:rsidP="0011209A">
      <w:pPr>
        <w:jc w:val="both"/>
        <w:rPr>
          <w:rFonts w:ascii="Times" w:eastAsia="Times New Roman" w:hAnsi="Times" w:cs="Times"/>
          <w:sz w:val="24"/>
          <w:szCs w:val="24"/>
          <w:lang w:eastAsia="it-IT"/>
        </w:rPr>
      </w:pPr>
      <w:r>
        <w:t>“</w:t>
      </w:r>
      <w:bookmarkStart w:id="0" w:name="_GoBack"/>
      <w:bookmarkEnd w:id="0"/>
      <w:r w:rsidR="005777BC" w:rsidRPr="0000008F">
        <w:rPr>
          <w:rFonts w:ascii="Times New Roman" w:hAnsi="Times New Roman" w:cs="Times New Roman"/>
          <w:sz w:val="24"/>
          <w:szCs w:val="24"/>
        </w:rPr>
        <w:t xml:space="preserve">Le norme di cui al presente regolamento non si applicano agli incentivi già maturati alla data di entrata in vigore della legge di conversione del D.L. 90/2014, che saranno erogati secondo la disciplina </w:t>
      </w:r>
      <w:proofErr w:type="spellStart"/>
      <w:r w:rsidR="005777BC" w:rsidRPr="0000008F">
        <w:rPr>
          <w:rFonts w:ascii="Times New Roman" w:hAnsi="Times New Roman" w:cs="Times New Roman"/>
          <w:sz w:val="24"/>
          <w:szCs w:val="24"/>
        </w:rPr>
        <w:t>previgente.</w:t>
      </w:r>
      <w:r w:rsidR="005777BC">
        <w:rPr>
          <w:rFonts w:ascii="Times New Roman" w:hAnsi="Times New Roman" w:cs="Times New Roman"/>
          <w:sz w:val="24"/>
          <w:szCs w:val="24"/>
        </w:rPr>
        <w:t>L’incarico</w:t>
      </w:r>
      <w:proofErr w:type="spellEnd"/>
      <w:r w:rsidR="005777BC">
        <w:rPr>
          <w:rFonts w:ascii="Times New Roman" w:hAnsi="Times New Roman" w:cs="Times New Roman"/>
          <w:sz w:val="24"/>
          <w:szCs w:val="24"/>
        </w:rPr>
        <w:t xml:space="preserve"> risulta conferito successivamente a tale data. Voglia pertanto rivedere la determinazione ed effettuare i nuovi conteggi</w:t>
      </w:r>
      <w:r w:rsidR="00774324">
        <w:rPr>
          <w:rFonts w:ascii="Times New Roman" w:hAnsi="Times New Roman" w:cs="Times New Roman"/>
          <w:sz w:val="24"/>
          <w:szCs w:val="24"/>
        </w:rPr>
        <w:t xml:space="preserve">. </w:t>
      </w:r>
      <w:r w:rsidR="00774324" w:rsidRPr="0011209A">
        <w:rPr>
          <w:rFonts w:ascii="Times" w:hAnsi="Times" w:cs="Times"/>
          <w:sz w:val="24"/>
          <w:szCs w:val="24"/>
        </w:rPr>
        <w:t>Con la deliberazione n. 300 del 13 novembre 2014 la Corte dei Conti, Sez. di Controllo per la Lombardia</w:t>
      </w:r>
      <w:r w:rsidR="0011209A">
        <w:rPr>
          <w:rFonts w:ascii="Times" w:hAnsi="Times" w:cs="Times"/>
          <w:sz w:val="24"/>
          <w:szCs w:val="24"/>
        </w:rPr>
        <w:t xml:space="preserve"> ha in particolare </w:t>
      </w:r>
      <w:proofErr w:type="gramStart"/>
      <w:r w:rsidR="0011209A">
        <w:rPr>
          <w:rFonts w:ascii="Times" w:hAnsi="Times" w:cs="Times"/>
          <w:sz w:val="24"/>
          <w:szCs w:val="24"/>
        </w:rPr>
        <w:t>precisato :</w:t>
      </w:r>
      <w:proofErr w:type="gramEnd"/>
      <w:r w:rsidR="0011209A">
        <w:rPr>
          <w:rFonts w:ascii="Times" w:hAnsi="Times" w:cs="Times"/>
          <w:sz w:val="24"/>
          <w:szCs w:val="24"/>
        </w:rPr>
        <w:t xml:space="preserve"> </w:t>
      </w:r>
      <w:r w:rsidR="0011209A" w:rsidRPr="0011209A">
        <w:rPr>
          <w:rFonts w:ascii="Times" w:eastAsia="Times New Roman" w:hAnsi="Times" w:cs="Times"/>
          <w:b/>
          <w:bCs/>
          <w:sz w:val="24"/>
          <w:szCs w:val="24"/>
          <w:lang w:eastAsia="it-IT"/>
        </w:rPr>
        <w:t>Punto essenziale, e pregiudiziale alla risoluzione di tutti e tre i quesiti, è invece la questione della cesura applicativa tra la vecchia e la nuova normativa; vale a dire, in sintesi, se essa trovi applicazione con riferimento alle sole attività successive o anche a quelle precedenti, ma non remunerate all’atto dell’entrata in vigore del decreto</w:t>
      </w:r>
      <w:r w:rsidR="0011209A" w:rsidRPr="0011209A">
        <w:rPr>
          <w:rFonts w:ascii="Times" w:eastAsia="Times New Roman" w:hAnsi="Times" w:cs="Times"/>
          <w:sz w:val="24"/>
          <w:szCs w:val="24"/>
          <w:lang w:eastAsia="it-IT"/>
        </w:rPr>
        <w:t>. </w:t>
      </w:r>
    </w:p>
    <w:p w:rsidR="0011209A" w:rsidRPr="0011209A" w:rsidRDefault="0011209A" w:rsidP="0011209A">
      <w:pPr>
        <w:spacing w:after="0" w:line="240" w:lineRule="auto"/>
        <w:jc w:val="both"/>
        <w:rPr>
          <w:rFonts w:ascii="Times" w:eastAsia="Times New Roman" w:hAnsi="Times" w:cs="Times"/>
          <w:sz w:val="24"/>
          <w:szCs w:val="24"/>
          <w:lang w:eastAsia="it-IT"/>
        </w:rPr>
      </w:pPr>
      <w:r w:rsidRPr="0011209A">
        <w:rPr>
          <w:rFonts w:ascii="Times" w:eastAsia="Times New Roman" w:hAnsi="Times" w:cs="Times"/>
          <w:sz w:val="24"/>
          <w:szCs w:val="24"/>
          <w:lang w:eastAsia="it-IT"/>
        </w:rPr>
        <w:t>Come noto, in ambito dottrinario e giurisprudenziale due orientamenti si dividono il campo: la teoria dei c.d. “diritti quesiti”, secondo cui, al fine di connotare come non retroattiva una disposizione, elemento essenziale è il dato che non intacchi situazioni giuridiche già maturate; e quella del c.d. “fatto compiuto”, secondo cui, fatta salva l’eventuale illegittimità dell’atto normativo per lesione dell’affidamento, l’utilità può considerarsi intangibile solo dopo che sia stata acquisita dal soggetto interessato. </w:t>
      </w:r>
    </w:p>
    <w:p w:rsidR="0011209A" w:rsidRPr="0011209A" w:rsidRDefault="0011209A" w:rsidP="0011209A">
      <w:pPr>
        <w:spacing w:after="0" w:line="240" w:lineRule="auto"/>
        <w:jc w:val="both"/>
        <w:rPr>
          <w:rFonts w:ascii="Times New Roman" w:eastAsia="Times New Roman" w:hAnsi="Times New Roman" w:cs="Times New Roman"/>
          <w:sz w:val="24"/>
          <w:szCs w:val="24"/>
          <w:lang w:eastAsia="it-IT"/>
        </w:rPr>
      </w:pPr>
      <w:r w:rsidRPr="0011209A">
        <w:rPr>
          <w:rFonts w:ascii="Times" w:eastAsia="Times New Roman" w:hAnsi="Times" w:cs="Times"/>
          <w:sz w:val="24"/>
          <w:szCs w:val="24"/>
          <w:lang w:eastAsia="it-IT"/>
        </w:rPr>
        <w:t xml:space="preserve">Al di là di tale considerazione di carattere generale, tuttavia, è possibile ricavare una soluzione interpretativa al quesito posto dalla deliberazione della Sez. autonomie, 8 maggio 2009, </w:t>
      </w:r>
      <w:hyperlink r:id="rId6" w:tgtFrame="_blank" w:history="1">
        <w:r w:rsidRPr="0011209A">
          <w:rPr>
            <w:rFonts w:ascii="Times" w:eastAsia="Times New Roman" w:hAnsi="Times" w:cs="Times"/>
            <w:color w:val="0000FF"/>
            <w:sz w:val="24"/>
            <w:szCs w:val="24"/>
            <w:u w:val="single"/>
            <w:lang w:eastAsia="it-IT"/>
          </w:rPr>
          <w:t>7/SEZAUT/2009/QMIG</w:t>
        </w:r>
      </w:hyperlink>
      <w:r w:rsidRPr="0011209A">
        <w:rPr>
          <w:rFonts w:ascii="Times" w:eastAsia="Times New Roman" w:hAnsi="Times" w:cs="Times"/>
          <w:sz w:val="24"/>
          <w:szCs w:val="24"/>
          <w:lang w:eastAsia="it-IT"/>
        </w:rPr>
        <w:t xml:space="preserve">, che, affrontando altra precedente riformulazione dell’incentivo di cui all’art. 92, comma 5, del codice dei contratti pubblici (in relazione alla riduzione introdotta dall’art. 18, comma 4 </w:t>
      </w:r>
      <w:proofErr w:type="spellStart"/>
      <w:r w:rsidRPr="0011209A">
        <w:rPr>
          <w:rFonts w:ascii="Times" w:eastAsia="Times New Roman" w:hAnsi="Times" w:cs="Times"/>
          <w:sz w:val="24"/>
          <w:szCs w:val="24"/>
          <w:lang w:eastAsia="it-IT"/>
        </w:rPr>
        <w:t>sexies</w:t>
      </w:r>
      <w:proofErr w:type="spellEnd"/>
      <w:r w:rsidRPr="0011209A">
        <w:rPr>
          <w:rFonts w:ascii="Times" w:eastAsia="Times New Roman" w:hAnsi="Times" w:cs="Times"/>
          <w:sz w:val="24"/>
          <w:szCs w:val="24"/>
          <w:lang w:eastAsia="it-IT"/>
        </w:rPr>
        <w:t xml:space="preserve">, del </w:t>
      </w:r>
      <w:proofErr w:type="spellStart"/>
      <w:r w:rsidRPr="0011209A">
        <w:rPr>
          <w:rFonts w:ascii="Times" w:eastAsia="Times New Roman" w:hAnsi="Times" w:cs="Times"/>
          <w:sz w:val="24"/>
          <w:szCs w:val="24"/>
          <w:lang w:eastAsia="it-IT"/>
        </w:rPr>
        <w:t>d.l.</w:t>
      </w:r>
      <w:proofErr w:type="spellEnd"/>
      <w:r w:rsidRPr="0011209A">
        <w:rPr>
          <w:rFonts w:ascii="Times" w:eastAsia="Times New Roman" w:hAnsi="Times" w:cs="Times"/>
          <w:sz w:val="24"/>
          <w:szCs w:val="24"/>
          <w:lang w:eastAsia="it-IT"/>
        </w:rPr>
        <w:t xml:space="preserve"> 29 novembre 2008, n. 185, convertito dalla l. 28 gennaio 2009, n. 2, che ha novellato l’art. 61 del </w:t>
      </w:r>
      <w:proofErr w:type="spellStart"/>
      <w:r w:rsidRPr="0011209A">
        <w:rPr>
          <w:rFonts w:ascii="Times" w:eastAsia="Times New Roman" w:hAnsi="Times" w:cs="Times"/>
          <w:sz w:val="24"/>
          <w:szCs w:val="24"/>
          <w:lang w:eastAsia="it-IT"/>
        </w:rPr>
        <w:t>d.l.</w:t>
      </w:r>
      <w:proofErr w:type="spellEnd"/>
      <w:r w:rsidRPr="0011209A">
        <w:rPr>
          <w:rFonts w:ascii="Times" w:eastAsia="Times New Roman" w:hAnsi="Times" w:cs="Times"/>
          <w:sz w:val="24"/>
          <w:szCs w:val="24"/>
          <w:lang w:eastAsia="it-IT"/>
        </w:rPr>
        <w:t xml:space="preserve"> 25 giugno 2008, n. 112, convertito dalla l. 6 agosto 2008, n. 133, con un comma 7 bis) ha precisato che “</w:t>
      </w:r>
      <w:r w:rsidRPr="0011209A">
        <w:rPr>
          <w:rFonts w:ascii="Times" w:eastAsia="Times New Roman" w:hAnsi="Times" w:cs="Times"/>
          <w:i/>
          <w:iCs/>
          <w:sz w:val="24"/>
          <w:szCs w:val="24"/>
          <w:lang w:eastAsia="it-IT"/>
        </w:rPr>
        <w:t>dal compimento dell’attività nasce il diritto al compenso, intangibile dalle disposizioni riduttive, che non hanno alcuna efficacia retroattiva. Né rileva, in contrario avviso, che alla rigorosa applicazione del criterio della spettanza dell’incentivo nella misura vigente all’atto del compimento della specifica attività, possa conseguire una differente consistenza del beneficio in ordine alla stessa opera per la quale è stanziata la somma da ripartire, a seconda se la stessa attività sia stata compiuta prima o dopo il 31.12.2008. Ciò perché, ai fini della nascita del diritto quello che rileva è il compimento effettivo dell’attività; dovendosi, anzi, tenere conto, per questo specifico aspetto, che per le prestazioni di durata, cioè quelle che non si esauriscono in una puntuale attività, ma si svolgono lungo un certo arco di tempo, dovrà considerarsi la frazione temporale di attività compiuta”: con la conseguenza che “il “quantum” del diritto al beneficio, quale spettante sulla base della somma da ripartire nella misura vigente al momento in cui questo è sorto, ossia al compimento delle attività incentivate, non possa essere modificato per effetto di norme che riducano per il tempo successivo l’entità della somma da ripartire"</w:t>
      </w:r>
      <w:r w:rsidRPr="0011209A">
        <w:rPr>
          <w:rFonts w:ascii="Times" w:eastAsia="Times New Roman" w:hAnsi="Times" w:cs="Times"/>
          <w:sz w:val="24"/>
          <w:szCs w:val="24"/>
          <w:lang w:eastAsia="it-IT"/>
        </w:rPr>
        <w:t xml:space="preserve">. A diverse conclusioni deve invece addivenirsi con riferimento al terzo quesito, in considerazione del dato che la norma effettua un chiaro riferimento al momento della corresponsione e che non condiziona la possibilità di erogare l’incentivo, ma si limita a determinarne (per </w:t>
      </w:r>
      <w:proofErr w:type="spellStart"/>
      <w:r w:rsidRPr="0011209A">
        <w:rPr>
          <w:rFonts w:ascii="Times" w:eastAsia="Times New Roman" w:hAnsi="Times" w:cs="Times"/>
          <w:sz w:val="24"/>
          <w:szCs w:val="24"/>
          <w:lang w:eastAsia="it-IT"/>
        </w:rPr>
        <w:t>relationem</w:t>
      </w:r>
      <w:proofErr w:type="spellEnd"/>
      <w:r w:rsidRPr="0011209A">
        <w:rPr>
          <w:rFonts w:ascii="Times" w:eastAsia="Times New Roman" w:hAnsi="Times" w:cs="Times"/>
          <w:sz w:val="24"/>
          <w:szCs w:val="24"/>
          <w:lang w:eastAsia="it-IT"/>
        </w:rPr>
        <w:t xml:space="preserve"> rispetto al trattamento economico fruito) l’ammontare massimo. </w:t>
      </w:r>
    </w:p>
    <w:p w:rsidR="0011209A" w:rsidRPr="0011209A" w:rsidRDefault="0011209A" w:rsidP="0011209A">
      <w:pPr>
        <w:spacing w:after="0" w:line="240" w:lineRule="auto"/>
        <w:jc w:val="both"/>
        <w:rPr>
          <w:rFonts w:ascii="Times New Roman" w:eastAsia="Times New Roman" w:hAnsi="Times New Roman" w:cs="Times New Roman"/>
          <w:sz w:val="24"/>
          <w:szCs w:val="24"/>
          <w:lang w:eastAsia="it-IT"/>
        </w:rPr>
      </w:pPr>
      <w:r w:rsidRPr="0011209A">
        <w:rPr>
          <w:rFonts w:ascii="Times" w:eastAsia="Times New Roman" w:hAnsi="Times" w:cs="Times"/>
          <w:b/>
          <w:bCs/>
          <w:sz w:val="24"/>
          <w:szCs w:val="24"/>
          <w:lang w:eastAsia="it-IT"/>
        </w:rPr>
        <w:t xml:space="preserve">In conclusione, l’ente, rimanendo per il resto libero nell’esercizio della propria attività discrezionale, nel periodo transitorio dovrà fare riferimento, quanto ai presupposti e ai beneficiari dell’incentivo, alla previgente disciplina mentre, per quel che concerne l’ammontare complessivo delle risorse destinabili al singolo beneficiario, al limite inderogabile fissato dalla norma con riferimento al trattamento economico spettante al momento </w:t>
      </w:r>
      <w:proofErr w:type="gramStart"/>
      <w:r w:rsidRPr="0011209A">
        <w:rPr>
          <w:rFonts w:ascii="Times" w:eastAsia="Times New Roman" w:hAnsi="Times" w:cs="Times"/>
          <w:b/>
          <w:bCs/>
          <w:sz w:val="24"/>
          <w:szCs w:val="24"/>
          <w:lang w:eastAsia="it-IT"/>
        </w:rPr>
        <w:t>dell’erogazione</w:t>
      </w:r>
      <w:r w:rsidRPr="0011209A">
        <w:rPr>
          <w:rFonts w:ascii="Times" w:eastAsia="Times New Roman" w:hAnsi="Times" w:cs="Times"/>
          <w:sz w:val="24"/>
          <w:szCs w:val="24"/>
          <w:lang w:eastAsia="it-IT"/>
        </w:rPr>
        <w:t xml:space="preserve"> ”</w:t>
      </w:r>
      <w:proofErr w:type="gramEnd"/>
      <w:r w:rsidRPr="0011209A">
        <w:rPr>
          <w:rFonts w:ascii="Times" w:eastAsia="Times New Roman" w:hAnsi="Times" w:cs="Times"/>
          <w:sz w:val="24"/>
          <w:szCs w:val="24"/>
          <w:lang w:eastAsia="it-IT"/>
        </w:rPr>
        <w:t>.</w:t>
      </w:r>
    </w:p>
    <w:p w:rsidR="005777BC" w:rsidRPr="0011209A" w:rsidRDefault="005777BC" w:rsidP="005777BC">
      <w:pPr>
        <w:pStyle w:val="Corpodeltesto20"/>
        <w:shd w:val="clear" w:color="auto" w:fill="auto"/>
        <w:spacing w:after="240"/>
        <w:rPr>
          <w:rFonts w:ascii="Times New Roman" w:hAnsi="Times New Roman" w:cs="Times New Roman"/>
          <w:sz w:val="24"/>
          <w:szCs w:val="24"/>
        </w:rPr>
      </w:pPr>
    </w:p>
    <w:p w:rsidR="005777BC" w:rsidRDefault="005777BC" w:rsidP="00C73002"/>
    <w:p w:rsidR="00692E63" w:rsidRDefault="00692E63" w:rsidP="00C73002">
      <w:r>
        <w:t xml:space="preserve"> 2</w:t>
      </w:r>
      <w:r w:rsidR="00712C76">
        <w:t>7</w:t>
      </w:r>
      <w:r>
        <w:t>.0</w:t>
      </w:r>
      <w:r w:rsidR="00E07036">
        <w:t>7</w:t>
      </w:r>
      <w:r>
        <w:t>.2016</w:t>
      </w:r>
    </w:p>
    <w:p w:rsidR="00C73002" w:rsidRDefault="00C73002" w:rsidP="005A4AC2">
      <w:pPr>
        <w:jc w:val="right"/>
      </w:pPr>
      <w:r>
        <w:lastRenderedPageBreak/>
        <w:t>IL SEGRETARIO COMUNALE</w:t>
      </w:r>
    </w:p>
    <w:sectPr w:rsidR="00C73002" w:rsidSect="00CF44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7463E"/>
    <w:multiLevelType w:val="hybridMultilevel"/>
    <w:tmpl w:val="4C7A3DBE"/>
    <w:lvl w:ilvl="0" w:tplc="D7A8C5D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BB"/>
    <w:rsid w:val="00000C61"/>
    <w:rsid w:val="000069D6"/>
    <w:rsid w:val="000308B1"/>
    <w:rsid w:val="0006627D"/>
    <w:rsid w:val="000876C9"/>
    <w:rsid w:val="00090706"/>
    <w:rsid w:val="000C7243"/>
    <w:rsid w:val="000E0189"/>
    <w:rsid w:val="000E2487"/>
    <w:rsid w:val="0011209A"/>
    <w:rsid w:val="001475BB"/>
    <w:rsid w:val="0015484A"/>
    <w:rsid w:val="001648DD"/>
    <w:rsid w:val="0018329F"/>
    <w:rsid w:val="001C5E75"/>
    <w:rsid w:val="001E063F"/>
    <w:rsid w:val="001F0A4D"/>
    <w:rsid w:val="002872BC"/>
    <w:rsid w:val="0029421C"/>
    <w:rsid w:val="002A0604"/>
    <w:rsid w:val="002A458A"/>
    <w:rsid w:val="002A7DC4"/>
    <w:rsid w:val="002B121C"/>
    <w:rsid w:val="00320545"/>
    <w:rsid w:val="00325005"/>
    <w:rsid w:val="00331847"/>
    <w:rsid w:val="00360FEE"/>
    <w:rsid w:val="003B16C7"/>
    <w:rsid w:val="00485041"/>
    <w:rsid w:val="004E2CBD"/>
    <w:rsid w:val="00552333"/>
    <w:rsid w:val="005777BC"/>
    <w:rsid w:val="005A4AC2"/>
    <w:rsid w:val="005D22D3"/>
    <w:rsid w:val="005E11A0"/>
    <w:rsid w:val="00664231"/>
    <w:rsid w:val="00692E63"/>
    <w:rsid w:val="006A0588"/>
    <w:rsid w:val="006C6C4C"/>
    <w:rsid w:val="006D5942"/>
    <w:rsid w:val="006F26A0"/>
    <w:rsid w:val="00712C76"/>
    <w:rsid w:val="00717C1C"/>
    <w:rsid w:val="00734A54"/>
    <w:rsid w:val="00774324"/>
    <w:rsid w:val="0077456D"/>
    <w:rsid w:val="0078461D"/>
    <w:rsid w:val="007D02D8"/>
    <w:rsid w:val="007E6A0C"/>
    <w:rsid w:val="00887471"/>
    <w:rsid w:val="008C76A7"/>
    <w:rsid w:val="008D00D6"/>
    <w:rsid w:val="009046BE"/>
    <w:rsid w:val="009052A4"/>
    <w:rsid w:val="009366F1"/>
    <w:rsid w:val="009C292E"/>
    <w:rsid w:val="009D3CA5"/>
    <w:rsid w:val="009F7270"/>
    <w:rsid w:val="00A06A9C"/>
    <w:rsid w:val="00A37DD3"/>
    <w:rsid w:val="00A60E8D"/>
    <w:rsid w:val="00B35951"/>
    <w:rsid w:val="00BB4AA5"/>
    <w:rsid w:val="00BF61E3"/>
    <w:rsid w:val="00C263CE"/>
    <w:rsid w:val="00C54B76"/>
    <w:rsid w:val="00C73002"/>
    <w:rsid w:val="00C91E49"/>
    <w:rsid w:val="00CA1B08"/>
    <w:rsid w:val="00CA6AE4"/>
    <w:rsid w:val="00CE0DF9"/>
    <w:rsid w:val="00CF2A05"/>
    <w:rsid w:val="00CF44E7"/>
    <w:rsid w:val="00D7047E"/>
    <w:rsid w:val="00D74613"/>
    <w:rsid w:val="00DE695A"/>
    <w:rsid w:val="00E07036"/>
    <w:rsid w:val="00E35F7B"/>
    <w:rsid w:val="00E82883"/>
    <w:rsid w:val="00E9278E"/>
    <w:rsid w:val="00EC252B"/>
    <w:rsid w:val="00ED26D5"/>
    <w:rsid w:val="00F55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7AD88-BB36-48E6-B169-FE630DD5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44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4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475BB"/>
    <w:pPr>
      <w:ind w:left="720"/>
      <w:contextualSpacing/>
    </w:pPr>
  </w:style>
  <w:style w:type="table" w:customStyle="1" w:styleId="Grigliatabella1">
    <w:name w:val="Griglia tabella1"/>
    <w:basedOn w:val="Tabellanormale"/>
    <w:next w:val="Grigliatabella"/>
    <w:uiPriority w:val="99"/>
    <w:rsid w:val="008C76A7"/>
    <w:pPr>
      <w:spacing w:after="0" w:line="240" w:lineRule="auto"/>
    </w:pPr>
    <w:rPr>
      <w:rFonts w:ascii="Calibri" w:eastAsia="Times New Roman" w:hAnsi="Calibri" w:cs="Calibri"/>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
    <w:name w:val="Corpo del testo (2)_"/>
    <w:basedOn w:val="Carpredefinitoparagrafo"/>
    <w:link w:val="Corpodeltesto20"/>
    <w:rsid w:val="005777BC"/>
    <w:rPr>
      <w:rFonts w:ascii="Verdana" w:eastAsia="Verdana" w:hAnsi="Verdana" w:cs="Verdana"/>
      <w:sz w:val="20"/>
      <w:szCs w:val="20"/>
      <w:shd w:val="clear" w:color="auto" w:fill="FFFFFF"/>
    </w:rPr>
  </w:style>
  <w:style w:type="paragraph" w:customStyle="1" w:styleId="Corpodeltesto20">
    <w:name w:val="Corpo del testo (2)"/>
    <w:basedOn w:val="Normale"/>
    <w:link w:val="Corpodeltesto2"/>
    <w:rsid w:val="005777BC"/>
    <w:pPr>
      <w:widowControl w:val="0"/>
      <w:shd w:val="clear" w:color="auto" w:fill="FFFFFF"/>
      <w:spacing w:after="0" w:line="240" w:lineRule="exact"/>
      <w:jc w:val="both"/>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81592">
      <w:bodyDiv w:val="1"/>
      <w:marLeft w:val="0"/>
      <w:marRight w:val="0"/>
      <w:marTop w:val="0"/>
      <w:marBottom w:val="0"/>
      <w:divBdr>
        <w:top w:val="none" w:sz="0" w:space="0" w:color="auto"/>
        <w:left w:val="none" w:sz="0" w:space="0" w:color="auto"/>
        <w:bottom w:val="none" w:sz="0" w:space="0" w:color="auto"/>
        <w:right w:val="none" w:sz="0" w:space="0" w:color="auto"/>
      </w:divBdr>
      <w:divsChild>
        <w:div w:id="1710957603">
          <w:marLeft w:val="0"/>
          <w:marRight w:val="0"/>
          <w:marTop w:val="0"/>
          <w:marBottom w:val="0"/>
          <w:divBdr>
            <w:top w:val="none" w:sz="0" w:space="0" w:color="auto"/>
            <w:left w:val="none" w:sz="0" w:space="0" w:color="auto"/>
            <w:bottom w:val="none" w:sz="0" w:space="0" w:color="auto"/>
            <w:right w:val="none" w:sz="0" w:space="0" w:color="auto"/>
          </w:divBdr>
        </w:div>
        <w:div w:id="1948851990">
          <w:marLeft w:val="0"/>
          <w:marRight w:val="0"/>
          <w:marTop w:val="0"/>
          <w:marBottom w:val="0"/>
          <w:divBdr>
            <w:top w:val="none" w:sz="0" w:space="0" w:color="auto"/>
            <w:left w:val="none" w:sz="0" w:space="0" w:color="auto"/>
            <w:bottom w:val="none" w:sz="0" w:space="0" w:color="auto"/>
            <w:right w:val="none" w:sz="0" w:space="0" w:color="auto"/>
          </w:divBdr>
        </w:div>
      </w:divsChild>
    </w:div>
    <w:div w:id="1211115834">
      <w:bodyDiv w:val="1"/>
      <w:marLeft w:val="0"/>
      <w:marRight w:val="0"/>
      <w:marTop w:val="0"/>
      <w:marBottom w:val="0"/>
      <w:divBdr>
        <w:top w:val="none" w:sz="0" w:space="0" w:color="auto"/>
        <w:left w:val="none" w:sz="0" w:space="0" w:color="auto"/>
        <w:bottom w:val="none" w:sz="0" w:space="0" w:color="auto"/>
        <w:right w:val="none" w:sz="0" w:space="0" w:color="auto"/>
      </w:divBdr>
      <w:divsChild>
        <w:div w:id="729618962">
          <w:marLeft w:val="0"/>
          <w:marRight w:val="0"/>
          <w:marTop w:val="0"/>
          <w:marBottom w:val="0"/>
          <w:divBdr>
            <w:top w:val="none" w:sz="0" w:space="0" w:color="auto"/>
            <w:left w:val="none" w:sz="0" w:space="0" w:color="auto"/>
            <w:bottom w:val="none" w:sz="0" w:space="0" w:color="auto"/>
            <w:right w:val="none" w:sz="0" w:space="0" w:color="auto"/>
          </w:divBdr>
        </w:div>
        <w:div w:id="603073576">
          <w:marLeft w:val="0"/>
          <w:marRight w:val="0"/>
          <w:marTop w:val="0"/>
          <w:marBottom w:val="0"/>
          <w:divBdr>
            <w:top w:val="none" w:sz="0" w:space="0" w:color="auto"/>
            <w:left w:val="none" w:sz="0" w:space="0" w:color="auto"/>
            <w:bottom w:val="none" w:sz="0" w:space="0" w:color="auto"/>
            <w:right w:val="none" w:sz="0" w:space="0" w:color="auto"/>
          </w:divBdr>
        </w:div>
        <w:div w:id="270867459">
          <w:marLeft w:val="0"/>
          <w:marRight w:val="0"/>
          <w:marTop w:val="0"/>
          <w:marBottom w:val="0"/>
          <w:divBdr>
            <w:top w:val="none" w:sz="0" w:space="0" w:color="auto"/>
            <w:left w:val="none" w:sz="0" w:space="0" w:color="auto"/>
            <w:bottom w:val="none" w:sz="0" w:space="0" w:color="auto"/>
            <w:right w:val="none" w:sz="0" w:space="0" w:color="auto"/>
          </w:divBdr>
        </w:div>
        <w:div w:id="740719360">
          <w:marLeft w:val="0"/>
          <w:marRight w:val="0"/>
          <w:marTop w:val="0"/>
          <w:marBottom w:val="0"/>
          <w:divBdr>
            <w:top w:val="none" w:sz="0" w:space="0" w:color="auto"/>
            <w:left w:val="none" w:sz="0" w:space="0" w:color="auto"/>
            <w:bottom w:val="none" w:sz="0" w:space="0" w:color="auto"/>
            <w:right w:val="none" w:sz="0" w:space="0" w:color="auto"/>
          </w:divBdr>
        </w:div>
        <w:div w:id="1723022882">
          <w:marLeft w:val="0"/>
          <w:marRight w:val="0"/>
          <w:marTop w:val="0"/>
          <w:marBottom w:val="0"/>
          <w:divBdr>
            <w:top w:val="none" w:sz="0" w:space="0" w:color="auto"/>
            <w:left w:val="none" w:sz="0" w:space="0" w:color="auto"/>
            <w:bottom w:val="none" w:sz="0" w:space="0" w:color="auto"/>
            <w:right w:val="none" w:sz="0" w:space="0" w:color="auto"/>
          </w:divBdr>
        </w:div>
        <w:div w:id="845246161">
          <w:marLeft w:val="0"/>
          <w:marRight w:val="0"/>
          <w:marTop w:val="0"/>
          <w:marBottom w:val="0"/>
          <w:divBdr>
            <w:top w:val="none" w:sz="0" w:space="0" w:color="auto"/>
            <w:left w:val="none" w:sz="0" w:space="0" w:color="auto"/>
            <w:bottom w:val="none" w:sz="0" w:space="0" w:color="auto"/>
            <w:right w:val="none" w:sz="0" w:space="0" w:color="auto"/>
          </w:divBdr>
        </w:div>
        <w:div w:id="2055616764">
          <w:marLeft w:val="0"/>
          <w:marRight w:val="0"/>
          <w:marTop w:val="0"/>
          <w:marBottom w:val="0"/>
          <w:divBdr>
            <w:top w:val="none" w:sz="0" w:space="0" w:color="auto"/>
            <w:left w:val="none" w:sz="0" w:space="0" w:color="auto"/>
            <w:bottom w:val="none" w:sz="0" w:space="0" w:color="auto"/>
            <w:right w:val="none" w:sz="0" w:space="0" w:color="auto"/>
          </w:divBdr>
        </w:div>
        <w:div w:id="724333941">
          <w:marLeft w:val="0"/>
          <w:marRight w:val="0"/>
          <w:marTop w:val="0"/>
          <w:marBottom w:val="0"/>
          <w:divBdr>
            <w:top w:val="none" w:sz="0" w:space="0" w:color="auto"/>
            <w:left w:val="none" w:sz="0" w:space="0" w:color="auto"/>
            <w:bottom w:val="none" w:sz="0" w:space="0" w:color="auto"/>
            <w:right w:val="none" w:sz="0" w:space="0" w:color="auto"/>
          </w:divBdr>
        </w:div>
        <w:div w:id="649014981">
          <w:marLeft w:val="0"/>
          <w:marRight w:val="0"/>
          <w:marTop w:val="0"/>
          <w:marBottom w:val="0"/>
          <w:divBdr>
            <w:top w:val="none" w:sz="0" w:space="0" w:color="auto"/>
            <w:left w:val="none" w:sz="0" w:space="0" w:color="auto"/>
            <w:bottom w:val="none" w:sz="0" w:space="0" w:color="auto"/>
            <w:right w:val="none" w:sz="0" w:space="0" w:color="auto"/>
          </w:divBdr>
        </w:div>
        <w:div w:id="1227492317">
          <w:marLeft w:val="0"/>
          <w:marRight w:val="0"/>
          <w:marTop w:val="0"/>
          <w:marBottom w:val="0"/>
          <w:divBdr>
            <w:top w:val="none" w:sz="0" w:space="0" w:color="auto"/>
            <w:left w:val="none" w:sz="0" w:space="0" w:color="auto"/>
            <w:bottom w:val="none" w:sz="0" w:space="0" w:color="auto"/>
            <w:right w:val="none" w:sz="0" w:space="0" w:color="auto"/>
          </w:divBdr>
        </w:div>
        <w:div w:id="849296459">
          <w:marLeft w:val="0"/>
          <w:marRight w:val="0"/>
          <w:marTop w:val="0"/>
          <w:marBottom w:val="0"/>
          <w:divBdr>
            <w:top w:val="none" w:sz="0" w:space="0" w:color="auto"/>
            <w:left w:val="none" w:sz="0" w:space="0" w:color="auto"/>
            <w:bottom w:val="none" w:sz="0" w:space="0" w:color="auto"/>
            <w:right w:val="none" w:sz="0" w:space="0" w:color="auto"/>
          </w:divBdr>
        </w:div>
        <w:div w:id="784427599">
          <w:marLeft w:val="0"/>
          <w:marRight w:val="0"/>
          <w:marTop w:val="0"/>
          <w:marBottom w:val="0"/>
          <w:divBdr>
            <w:top w:val="none" w:sz="0" w:space="0" w:color="auto"/>
            <w:left w:val="none" w:sz="0" w:space="0" w:color="auto"/>
            <w:bottom w:val="none" w:sz="0" w:space="0" w:color="auto"/>
            <w:right w:val="none" w:sz="0" w:space="0" w:color="auto"/>
          </w:divBdr>
        </w:div>
        <w:div w:id="1920866889">
          <w:marLeft w:val="0"/>
          <w:marRight w:val="0"/>
          <w:marTop w:val="0"/>
          <w:marBottom w:val="0"/>
          <w:divBdr>
            <w:top w:val="none" w:sz="0" w:space="0" w:color="auto"/>
            <w:left w:val="none" w:sz="0" w:space="0" w:color="auto"/>
            <w:bottom w:val="none" w:sz="0" w:space="0" w:color="auto"/>
            <w:right w:val="none" w:sz="0" w:space="0" w:color="auto"/>
          </w:divBdr>
        </w:div>
        <w:div w:id="1909150297">
          <w:marLeft w:val="0"/>
          <w:marRight w:val="0"/>
          <w:marTop w:val="0"/>
          <w:marBottom w:val="0"/>
          <w:divBdr>
            <w:top w:val="none" w:sz="0" w:space="0" w:color="auto"/>
            <w:left w:val="none" w:sz="0" w:space="0" w:color="auto"/>
            <w:bottom w:val="none" w:sz="0" w:space="0" w:color="auto"/>
            <w:right w:val="none" w:sz="0" w:space="0" w:color="auto"/>
          </w:divBdr>
        </w:div>
        <w:div w:id="947664959">
          <w:marLeft w:val="0"/>
          <w:marRight w:val="0"/>
          <w:marTop w:val="0"/>
          <w:marBottom w:val="0"/>
          <w:divBdr>
            <w:top w:val="none" w:sz="0" w:space="0" w:color="auto"/>
            <w:left w:val="none" w:sz="0" w:space="0" w:color="auto"/>
            <w:bottom w:val="none" w:sz="0" w:space="0" w:color="auto"/>
            <w:right w:val="none" w:sz="0" w:space="0" w:color="auto"/>
          </w:divBdr>
        </w:div>
        <w:div w:id="1763603490">
          <w:marLeft w:val="0"/>
          <w:marRight w:val="0"/>
          <w:marTop w:val="0"/>
          <w:marBottom w:val="0"/>
          <w:divBdr>
            <w:top w:val="none" w:sz="0" w:space="0" w:color="auto"/>
            <w:left w:val="none" w:sz="0" w:space="0" w:color="auto"/>
            <w:bottom w:val="none" w:sz="0" w:space="0" w:color="auto"/>
            <w:right w:val="none" w:sz="0" w:space="0" w:color="auto"/>
          </w:divBdr>
        </w:div>
        <w:div w:id="1659573363">
          <w:marLeft w:val="0"/>
          <w:marRight w:val="0"/>
          <w:marTop w:val="0"/>
          <w:marBottom w:val="0"/>
          <w:divBdr>
            <w:top w:val="none" w:sz="0" w:space="0" w:color="auto"/>
            <w:left w:val="none" w:sz="0" w:space="0" w:color="auto"/>
            <w:bottom w:val="none" w:sz="0" w:space="0" w:color="auto"/>
            <w:right w:val="none" w:sz="0" w:space="0" w:color="auto"/>
          </w:divBdr>
        </w:div>
        <w:div w:id="500320904">
          <w:marLeft w:val="0"/>
          <w:marRight w:val="0"/>
          <w:marTop w:val="0"/>
          <w:marBottom w:val="0"/>
          <w:divBdr>
            <w:top w:val="none" w:sz="0" w:space="0" w:color="auto"/>
            <w:left w:val="none" w:sz="0" w:space="0" w:color="auto"/>
            <w:bottom w:val="none" w:sz="0" w:space="0" w:color="auto"/>
            <w:right w:val="none" w:sz="0" w:space="0" w:color="auto"/>
          </w:divBdr>
        </w:div>
        <w:div w:id="1615094003">
          <w:marLeft w:val="0"/>
          <w:marRight w:val="0"/>
          <w:marTop w:val="0"/>
          <w:marBottom w:val="0"/>
          <w:divBdr>
            <w:top w:val="none" w:sz="0" w:space="0" w:color="auto"/>
            <w:left w:val="none" w:sz="0" w:space="0" w:color="auto"/>
            <w:bottom w:val="none" w:sz="0" w:space="0" w:color="auto"/>
            <w:right w:val="none" w:sz="0" w:space="0" w:color="auto"/>
          </w:divBdr>
        </w:div>
        <w:div w:id="1995141706">
          <w:marLeft w:val="0"/>
          <w:marRight w:val="0"/>
          <w:marTop w:val="0"/>
          <w:marBottom w:val="0"/>
          <w:divBdr>
            <w:top w:val="none" w:sz="0" w:space="0" w:color="auto"/>
            <w:left w:val="none" w:sz="0" w:space="0" w:color="auto"/>
            <w:bottom w:val="none" w:sz="0" w:space="0" w:color="auto"/>
            <w:right w:val="none" w:sz="0" w:space="0" w:color="auto"/>
          </w:divBdr>
        </w:div>
        <w:div w:id="866023496">
          <w:marLeft w:val="0"/>
          <w:marRight w:val="0"/>
          <w:marTop w:val="0"/>
          <w:marBottom w:val="0"/>
          <w:divBdr>
            <w:top w:val="none" w:sz="0" w:space="0" w:color="auto"/>
            <w:left w:val="none" w:sz="0" w:space="0" w:color="auto"/>
            <w:bottom w:val="none" w:sz="0" w:space="0" w:color="auto"/>
            <w:right w:val="none" w:sz="0" w:space="0" w:color="auto"/>
          </w:divBdr>
        </w:div>
        <w:div w:id="478573491">
          <w:marLeft w:val="0"/>
          <w:marRight w:val="0"/>
          <w:marTop w:val="0"/>
          <w:marBottom w:val="0"/>
          <w:divBdr>
            <w:top w:val="none" w:sz="0" w:space="0" w:color="auto"/>
            <w:left w:val="none" w:sz="0" w:space="0" w:color="auto"/>
            <w:bottom w:val="none" w:sz="0" w:space="0" w:color="auto"/>
            <w:right w:val="none" w:sz="0" w:space="0" w:color="auto"/>
          </w:divBdr>
        </w:div>
        <w:div w:id="958101413">
          <w:marLeft w:val="0"/>
          <w:marRight w:val="0"/>
          <w:marTop w:val="0"/>
          <w:marBottom w:val="0"/>
          <w:divBdr>
            <w:top w:val="none" w:sz="0" w:space="0" w:color="auto"/>
            <w:left w:val="none" w:sz="0" w:space="0" w:color="auto"/>
            <w:bottom w:val="none" w:sz="0" w:space="0" w:color="auto"/>
            <w:right w:val="none" w:sz="0" w:space="0" w:color="auto"/>
          </w:divBdr>
        </w:div>
        <w:div w:id="581767813">
          <w:marLeft w:val="0"/>
          <w:marRight w:val="0"/>
          <w:marTop w:val="0"/>
          <w:marBottom w:val="0"/>
          <w:divBdr>
            <w:top w:val="none" w:sz="0" w:space="0" w:color="auto"/>
            <w:left w:val="none" w:sz="0" w:space="0" w:color="auto"/>
            <w:bottom w:val="none" w:sz="0" w:space="0" w:color="auto"/>
            <w:right w:val="none" w:sz="0" w:space="0" w:color="auto"/>
          </w:divBdr>
        </w:div>
        <w:div w:id="399138786">
          <w:marLeft w:val="0"/>
          <w:marRight w:val="0"/>
          <w:marTop w:val="0"/>
          <w:marBottom w:val="0"/>
          <w:divBdr>
            <w:top w:val="none" w:sz="0" w:space="0" w:color="auto"/>
            <w:left w:val="none" w:sz="0" w:space="0" w:color="auto"/>
            <w:bottom w:val="none" w:sz="0" w:space="0" w:color="auto"/>
            <w:right w:val="none" w:sz="0" w:space="0" w:color="auto"/>
          </w:divBdr>
        </w:div>
        <w:div w:id="1935703625">
          <w:marLeft w:val="0"/>
          <w:marRight w:val="0"/>
          <w:marTop w:val="0"/>
          <w:marBottom w:val="0"/>
          <w:divBdr>
            <w:top w:val="none" w:sz="0" w:space="0" w:color="auto"/>
            <w:left w:val="none" w:sz="0" w:space="0" w:color="auto"/>
            <w:bottom w:val="none" w:sz="0" w:space="0" w:color="auto"/>
            <w:right w:val="none" w:sz="0" w:space="0" w:color="auto"/>
          </w:divBdr>
        </w:div>
        <w:div w:id="1830944893">
          <w:marLeft w:val="0"/>
          <w:marRight w:val="0"/>
          <w:marTop w:val="0"/>
          <w:marBottom w:val="0"/>
          <w:divBdr>
            <w:top w:val="none" w:sz="0" w:space="0" w:color="auto"/>
            <w:left w:val="none" w:sz="0" w:space="0" w:color="auto"/>
            <w:bottom w:val="none" w:sz="0" w:space="0" w:color="auto"/>
            <w:right w:val="none" w:sz="0" w:space="0" w:color="auto"/>
          </w:divBdr>
        </w:div>
        <w:div w:id="1223253916">
          <w:marLeft w:val="0"/>
          <w:marRight w:val="0"/>
          <w:marTop w:val="0"/>
          <w:marBottom w:val="0"/>
          <w:divBdr>
            <w:top w:val="none" w:sz="0" w:space="0" w:color="auto"/>
            <w:left w:val="none" w:sz="0" w:space="0" w:color="auto"/>
            <w:bottom w:val="none" w:sz="0" w:space="0" w:color="auto"/>
            <w:right w:val="none" w:sz="0" w:space="0" w:color="auto"/>
          </w:divBdr>
        </w:div>
        <w:div w:id="2026208507">
          <w:marLeft w:val="0"/>
          <w:marRight w:val="0"/>
          <w:marTop w:val="0"/>
          <w:marBottom w:val="0"/>
          <w:divBdr>
            <w:top w:val="none" w:sz="0" w:space="0" w:color="auto"/>
            <w:left w:val="none" w:sz="0" w:space="0" w:color="auto"/>
            <w:bottom w:val="none" w:sz="0" w:space="0" w:color="auto"/>
            <w:right w:val="none" w:sz="0" w:space="0" w:color="auto"/>
          </w:divBdr>
        </w:div>
        <w:div w:id="1517377464">
          <w:marLeft w:val="0"/>
          <w:marRight w:val="0"/>
          <w:marTop w:val="0"/>
          <w:marBottom w:val="0"/>
          <w:divBdr>
            <w:top w:val="none" w:sz="0" w:space="0" w:color="auto"/>
            <w:left w:val="none" w:sz="0" w:space="0" w:color="auto"/>
            <w:bottom w:val="none" w:sz="0" w:space="0" w:color="auto"/>
            <w:right w:val="none" w:sz="0" w:space="0" w:color="auto"/>
          </w:divBdr>
        </w:div>
        <w:div w:id="1439983410">
          <w:marLeft w:val="0"/>
          <w:marRight w:val="0"/>
          <w:marTop w:val="0"/>
          <w:marBottom w:val="0"/>
          <w:divBdr>
            <w:top w:val="none" w:sz="0" w:space="0" w:color="auto"/>
            <w:left w:val="none" w:sz="0" w:space="0" w:color="auto"/>
            <w:bottom w:val="none" w:sz="0" w:space="0" w:color="auto"/>
            <w:right w:val="none" w:sz="0" w:space="0" w:color="auto"/>
          </w:divBdr>
        </w:div>
        <w:div w:id="393701943">
          <w:marLeft w:val="0"/>
          <w:marRight w:val="0"/>
          <w:marTop w:val="0"/>
          <w:marBottom w:val="0"/>
          <w:divBdr>
            <w:top w:val="none" w:sz="0" w:space="0" w:color="auto"/>
            <w:left w:val="none" w:sz="0" w:space="0" w:color="auto"/>
            <w:bottom w:val="none" w:sz="0" w:space="0" w:color="auto"/>
            <w:right w:val="none" w:sz="0" w:space="0" w:color="auto"/>
          </w:divBdr>
        </w:div>
        <w:div w:id="1939829547">
          <w:marLeft w:val="0"/>
          <w:marRight w:val="0"/>
          <w:marTop w:val="0"/>
          <w:marBottom w:val="0"/>
          <w:divBdr>
            <w:top w:val="none" w:sz="0" w:space="0" w:color="auto"/>
            <w:left w:val="none" w:sz="0" w:space="0" w:color="auto"/>
            <w:bottom w:val="none" w:sz="0" w:space="0" w:color="auto"/>
            <w:right w:val="none" w:sz="0" w:space="0" w:color="auto"/>
          </w:divBdr>
        </w:div>
        <w:div w:id="1781413673">
          <w:marLeft w:val="0"/>
          <w:marRight w:val="0"/>
          <w:marTop w:val="0"/>
          <w:marBottom w:val="0"/>
          <w:divBdr>
            <w:top w:val="none" w:sz="0" w:space="0" w:color="auto"/>
            <w:left w:val="none" w:sz="0" w:space="0" w:color="auto"/>
            <w:bottom w:val="none" w:sz="0" w:space="0" w:color="auto"/>
            <w:right w:val="none" w:sz="0" w:space="0" w:color="auto"/>
          </w:divBdr>
        </w:div>
        <w:div w:id="683676174">
          <w:marLeft w:val="0"/>
          <w:marRight w:val="0"/>
          <w:marTop w:val="0"/>
          <w:marBottom w:val="0"/>
          <w:divBdr>
            <w:top w:val="none" w:sz="0" w:space="0" w:color="auto"/>
            <w:left w:val="none" w:sz="0" w:space="0" w:color="auto"/>
            <w:bottom w:val="none" w:sz="0" w:space="0" w:color="auto"/>
            <w:right w:val="none" w:sz="0" w:space="0" w:color="auto"/>
          </w:divBdr>
        </w:div>
        <w:div w:id="1086225096">
          <w:marLeft w:val="0"/>
          <w:marRight w:val="0"/>
          <w:marTop w:val="0"/>
          <w:marBottom w:val="0"/>
          <w:divBdr>
            <w:top w:val="none" w:sz="0" w:space="0" w:color="auto"/>
            <w:left w:val="none" w:sz="0" w:space="0" w:color="auto"/>
            <w:bottom w:val="none" w:sz="0" w:space="0" w:color="auto"/>
            <w:right w:val="none" w:sz="0" w:space="0" w:color="auto"/>
          </w:divBdr>
        </w:div>
        <w:div w:id="1711147733">
          <w:marLeft w:val="0"/>
          <w:marRight w:val="0"/>
          <w:marTop w:val="0"/>
          <w:marBottom w:val="0"/>
          <w:divBdr>
            <w:top w:val="none" w:sz="0" w:space="0" w:color="auto"/>
            <w:left w:val="none" w:sz="0" w:space="0" w:color="auto"/>
            <w:bottom w:val="none" w:sz="0" w:space="0" w:color="auto"/>
            <w:right w:val="none" w:sz="0" w:space="0" w:color="auto"/>
          </w:divBdr>
        </w:div>
        <w:div w:id="452017799">
          <w:marLeft w:val="0"/>
          <w:marRight w:val="0"/>
          <w:marTop w:val="0"/>
          <w:marBottom w:val="0"/>
          <w:divBdr>
            <w:top w:val="none" w:sz="0" w:space="0" w:color="auto"/>
            <w:left w:val="none" w:sz="0" w:space="0" w:color="auto"/>
            <w:bottom w:val="none" w:sz="0" w:space="0" w:color="auto"/>
            <w:right w:val="none" w:sz="0" w:space="0" w:color="auto"/>
          </w:divBdr>
        </w:div>
        <w:div w:id="1675768258">
          <w:marLeft w:val="0"/>
          <w:marRight w:val="0"/>
          <w:marTop w:val="0"/>
          <w:marBottom w:val="0"/>
          <w:divBdr>
            <w:top w:val="none" w:sz="0" w:space="0" w:color="auto"/>
            <w:left w:val="none" w:sz="0" w:space="0" w:color="auto"/>
            <w:bottom w:val="none" w:sz="0" w:space="0" w:color="auto"/>
            <w:right w:val="none" w:sz="0" w:space="0" w:color="auto"/>
          </w:divBdr>
        </w:div>
        <w:div w:id="1670519689">
          <w:marLeft w:val="0"/>
          <w:marRight w:val="0"/>
          <w:marTop w:val="0"/>
          <w:marBottom w:val="0"/>
          <w:divBdr>
            <w:top w:val="none" w:sz="0" w:space="0" w:color="auto"/>
            <w:left w:val="none" w:sz="0" w:space="0" w:color="auto"/>
            <w:bottom w:val="none" w:sz="0" w:space="0" w:color="auto"/>
            <w:right w:val="none" w:sz="0" w:space="0" w:color="auto"/>
          </w:divBdr>
        </w:div>
        <w:div w:id="1647397536">
          <w:marLeft w:val="0"/>
          <w:marRight w:val="0"/>
          <w:marTop w:val="0"/>
          <w:marBottom w:val="0"/>
          <w:divBdr>
            <w:top w:val="none" w:sz="0" w:space="0" w:color="auto"/>
            <w:left w:val="none" w:sz="0" w:space="0" w:color="auto"/>
            <w:bottom w:val="none" w:sz="0" w:space="0" w:color="auto"/>
            <w:right w:val="none" w:sz="0" w:space="0" w:color="auto"/>
          </w:divBdr>
        </w:div>
        <w:div w:id="119543870">
          <w:marLeft w:val="0"/>
          <w:marRight w:val="0"/>
          <w:marTop w:val="0"/>
          <w:marBottom w:val="0"/>
          <w:divBdr>
            <w:top w:val="none" w:sz="0" w:space="0" w:color="auto"/>
            <w:left w:val="none" w:sz="0" w:space="0" w:color="auto"/>
            <w:bottom w:val="none" w:sz="0" w:space="0" w:color="auto"/>
            <w:right w:val="none" w:sz="0" w:space="0" w:color="auto"/>
          </w:divBdr>
        </w:div>
        <w:div w:id="22445339">
          <w:marLeft w:val="0"/>
          <w:marRight w:val="0"/>
          <w:marTop w:val="0"/>
          <w:marBottom w:val="0"/>
          <w:divBdr>
            <w:top w:val="none" w:sz="0" w:space="0" w:color="auto"/>
            <w:left w:val="none" w:sz="0" w:space="0" w:color="auto"/>
            <w:bottom w:val="none" w:sz="0" w:space="0" w:color="auto"/>
            <w:right w:val="none" w:sz="0" w:space="0" w:color="auto"/>
          </w:divBdr>
        </w:div>
        <w:div w:id="707992807">
          <w:marLeft w:val="0"/>
          <w:marRight w:val="0"/>
          <w:marTop w:val="0"/>
          <w:marBottom w:val="0"/>
          <w:divBdr>
            <w:top w:val="none" w:sz="0" w:space="0" w:color="auto"/>
            <w:left w:val="none" w:sz="0" w:space="0" w:color="auto"/>
            <w:bottom w:val="none" w:sz="0" w:space="0" w:color="auto"/>
            <w:right w:val="none" w:sz="0" w:space="0" w:color="auto"/>
          </w:divBdr>
        </w:div>
        <w:div w:id="1801529640">
          <w:marLeft w:val="0"/>
          <w:marRight w:val="0"/>
          <w:marTop w:val="0"/>
          <w:marBottom w:val="0"/>
          <w:divBdr>
            <w:top w:val="none" w:sz="0" w:space="0" w:color="auto"/>
            <w:left w:val="none" w:sz="0" w:space="0" w:color="auto"/>
            <w:bottom w:val="none" w:sz="0" w:space="0" w:color="auto"/>
            <w:right w:val="none" w:sz="0" w:space="0" w:color="auto"/>
          </w:divBdr>
        </w:div>
        <w:div w:id="89394325">
          <w:marLeft w:val="0"/>
          <w:marRight w:val="0"/>
          <w:marTop w:val="0"/>
          <w:marBottom w:val="0"/>
          <w:divBdr>
            <w:top w:val="none" w:sz="0" w:space="0" w:color="auto"/>
            <w:left w:val="none" w:sz="0" w:space="0" w:color="auto"/>
            <w:bottom w:val="none" w:sz="0" w:space="0" w:color="auto"/>
            <w:right w:val="none" w:sz="0" w:space="0" w:color="auto"/>
          </w:divBdr>
        </w:div>
        <w:div w:id="1015689172">
          <w:marLeft w:val="0"/>
          <w:marRight w:val="0"/>
          <w:marTop w:val="0"/>
          <w:marBottom w:val="0"/>
          <w:divBdr>
            <w:top w:val="none" w:sz="0" w:space="0" w:color="auto"/>
            <w:left w:val="none" w:sz="0" w:space="0" w:color="auto"/>
            <w:bottom w:val="none" w:sz="0" w:space="0" w:color="auto"/>
            <w:right w:val="none" w:sz="0" w:space="0" w:color="auto"/>
          </w:divBdr>
        </w:div>
        <w:div w:id="1573004259">
          <w:marLeft w:val="0"/>
          <w:marRight w:val="0"/>
          <w:marTop w:val="0"/>
          <w:marBottom w:val="0"/>
          <w:divBdr>
            <w:top w:val="none" w:sz="0" w:space="0" w:color="auto"/>
            <w:left w:val="none" w:sz="0" w:space="0" w:color="auto"/>
            <w:bottom w:val="none" w:sz="0" w:space="0" w:color="auto"/>
            <w:right w:val="none" w:sz="0" w:space="0" w:color="auto"/>
          </w:divBdr>
        </w:div>
      </w:divsChild>
    </w:div>
    <w:div w:id="19340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teconti.it/export/sites/portalecdc/_documenti/controllo/sez_autonomie/questione_massima/delibera_7_sezaut_2009_qmi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47AC0-A206-4DFD-8699-1C324D35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1001</Words>
  <Characters>5708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Dorotea Grasso</cp:lastModifiedBy>
  <cp:revision>7</cp:revision>
  <dcterms:created xsi:type="dcterms:W3CDTF">2016-07-27T14:04:00Z</dcterms:created>
  <dcterms:modified xsi:type="dcterms:W3CDTF">2016-07-29T10:18:00Z</dcterms:modified>
</cp:coreProperties>
</file>