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E67" w:rsidRDefault="007D1E67" w:rsidP="001475BB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r>
        <w:rPr>
          <w:rFonts w:ascii="Arial" w:eastAsia="Times New Roman" w:hAnsi="Arial" w:cs="Arial"/>
          <w:sz w:val="32"/>
          <w:szCs w:val="32"/>
          <w:lang w:eastAsia="it-IT"/>
        </w:rPr>
        <w:t>prot. 12311- trasmissione a settore tributi</w:t>
      </w:r>
      <w:bookmarkStart w:id="0" w:name="_GoBack"/>
      <w:bookmarkEnd w:id="0"/>
    </w:p>
    <w:p w:rsidR="001475BB" w:rsidRPr="001475BB" w:rsidRDefault="001475BB" w:rsidP="001475BB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r w:rsidRPr="001475BB">
        <w:rPr>
          <w:rFonts w:ascii="Arial" w:eastAsia="Times New Roman" w:hAnsi="Arial" w:cs="Arial"/>
          <w:sz w:val="32"/>
          <w:szCs w:val="32"/>
          <w:lang w:eastAsia="it-IT"/>
        </w:rPr>
        <w:t xml:space="preserve">GRIGLIA CONTROLLO per il controllo successivo di regolarità </w:t>
      </w:r>
    </w:p>
    <w:p w:rsidR="0044705C" w:rsidRPr="0044705C" w:rsidRDefault="001475BB" w:rsidP="0044705C">
      <w:pPr>
        <w:spacing w:after="0" w:line="240" w:lineRule="auto"/>
        <w:rPr>
          <w:b/>
          <w:bCs/>
        </w:rPr>
      </w:pPr>
      <w:r w:rsidRPr="001475BB">
        <w:rPr>
          <w:rFonts w:ascii="Arial" w:eastAsia="Times New Roman" w:hAnsi="Arial" w:cs="Arial"/>
          <w:sz w:val="32"/>
          <w:szCs w:val="32"/>
          <w:lang w:eastAsia="it-IT"/>
        </w:rPr>
        <w:t xml:space="preserve">amministrativa e contabile </w:t>
      </w:r>
      <w:r w:rsidR="00825811">
        <w:rPr>
          <w:rFonts w:ascii="Arial" w:eastAsia="Times New Roman" w:hAnsi="Arial" w:cs="Arial"/>
          <w:sz w:val="32"/>
          <w:szCs w:val="32"/>
          <w:lang w:eastAsia="it-IT"/>
        </w:rPr>
        <w:t xml:space="preserve">det. </w:t>
      </w:r>
      <w:r w:rsidR="0087592E">
        <w:rPr>
          <w:rFonts w:ascii="Arial" w:eastAsia="Times New Roman" w:hAnsi="Arial" w:cs="Arial"/>
          <w:sz w:val="32"/>
          <w:szCs w:val="32"/>
          <w:lang w:eastAsia="it-IT"/>
        </w:rPr>
        <w:t>5</w:t>
      </w:r>
      <w:r w:rsidR="00C87BC8">
        <w:rPr>
          <w:rFonts w:ascii="Arial" w:eastAsia="Times New Roman" w:hAnsi="Arial" w:cs="Arial"/>
          <w:sz w:val="32"/>
          <w:szCs w:val="32"/>
          <w:lang w:eastAsia="it-IT"/>
        </w:rPr>
        <w:t>43</w:t>
      </w:r>
      <w:r w:rsidR="00825811">
        <w:rPr>
          <w:rFonts w:ascii="Arial" w:eastAsia="Times New Roman" w:hAnsi="Arial" w:cs="Arial"/>
          <w:sz w:val="32"/>
          <w:szCs w:val="32"/>
          <w:lang w:eastAsia="it-IT"/>
        </w:rPr>
        <w:t>/2016/AA.GG.</w:t>
      </w:r>
      <w:r w:rsidR="00825811" w:rsidRPr="00825811">
        <w:t xml:space="preserve"> </w:t>
      </w:r>
      <w:r w:rsidR="0044705C" w:rsidRPr="0044705C">
        <w:rPr>
          <w:b/>
          <w:bCs/>
        </w:rPr>
        <w:t>LIQUIDAZIONE A FAVORE DEL COMUNE DI PEDARA PER LA</w:t>
      </w:r>
      <w:r w:rsidR="0044705C">
        <w:rPr>
          <w:b/>
          <w:bCs/>
        </w:rPr>
        <w:t xml:space="preserve"> </w:t>
      </w:r>
      <w:r w:rsidR="0044705C" w:rsidRPr="0044705C">
        <w:rPr>
          <w:b/>
          <w:bCs/>
        </w:rPr>
        <w:t>CONVENZIONE PER L'UTILIZZO DEL RESPONSABILE DEL SETTORE</w:t>
      </w:r>
    </w:p>
    <w:p w:rsidR="00C43437" w:rsidRDefault="0044705C" w:rsidP="0044705C">
      <w:pPr>
        <w:spacing w:after="0" w:line="240" w:lineRule="auto"/>
      </w:pPr>
      <w:r w:rsidRPr="0044705C">
        <w:rPr>
          <w:b/>
          <w:bCs/>
        </w:rPr>
        <w:t>AFFARI GENERALI ED ISTITUZIONALI DOTT.SSA TOSCANO GAETANA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650"/>
        <w:gridCol w:w="1978"/>
      </w:tblGrid>
      <w:tr w:rsidR="00C73002" w:rsidTr="00C861C1">
        <w:tc>
          <w:tcPr>
            <w:tcW w:w="7763" w:type="dxa"/>
          </w:tcPr>
          <w:p w:rsidR="00C73002" w:rsidRPr="001475BB" w:rsidRDefault="00C73002" w:rsidP="00C861C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475BB">
              <w:rPr>
                <w:rFonts w:ascii="Arial" w:eastAsia="Times New Roman" w:hAnsi="Arial" w:cs="Arial"/>
                <w:sz w:val="24"/>
                <w:szCs w:val="24"/>
              </w:rPr>
              <w:t>Anomalie riscontrate</w:t>
            </w:r>
          </w:p>
          <w:p w:rsidR="00C73002" w:rsidRDefault="00C73002" w:rsidP="00C861C1"/>
        </w:tc>
        <w:tc>
          <w:tcPr>
            <w:tcW w:w="2015" w:type="dxa"/>
          </w:tcPr>
          <w:p w:rsidR="00C73002" w:rsidRPr="001475BB" w:rsidRDefault="00C73002" w:rsidP="00C861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75BB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Pr="00B35951" w:rsidRDefault="00C73002" w:rsidP="00C861C1">
            <w:pPr>
              <w:rPr>
                <w:rFonts w:ascii="Arial" w:eastAsia="Times New Roman" w:hAnsi="Arial" w:cs="Arial"/>
                <w:b/>
              </w:rPr>
            </w:pPr>
            <w:r w:rsidRPr="00B35951">
              <w:rPr>
                <w:rFonts w:ascii="Arial" w:eastAsia="Times New Roman" w:hAnsi="Arial" w:cs="Arial"/>
                <w:b/>
              </w:rPr>
              <w:t>Oggetto</w:t>
            </w:r>
          </w:p>
          <w:p w:rsidR="00C73002" w:rsidRPr="00B35951" w:rsidRDefault="00C73002" w:rsidP="00C861C1">
            <w:pPr>
              <w:rPr>
                <w:b/>
              </w:rPr>
            </w:pP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pPr>
              <w:pStyle w:val="Paragrafoelenco"/>
              <w:numPr>
                <w:ilvl w:val="0"/>
                <w:numId w:val="1"/>
              </w:numPr>
            </w:pPr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 riassume i principali elementi della decisione adottata (dispositivo)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pPr>
              <w:pStyle w:val="Paragrafoelenco"/>
              <w:numPr>
                <w:ilvl w:val="0"/>
                <w:numId w:val="1"/>
              </w:numPr>
            </w:pPr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 indica i soggetti eventualmente interessati dal provvedimento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pPr>
              <w:pStyle w:val="Paragrafoelenco"/>
              <w:numPr>
                <w:ilvl w:val="0"/>
                <w:numId w:val="1"/>
              </w:numPr>
            </w:pPr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 rispetta le forme di tutela della privacy (ove necessario)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pPr>
              <w:pStyle w:val="Paragrafoelenco"/>
              <w:numPr>
                <w:ilvl w:val="0"/>
                <w:numId w:val="1"/>
              </w:numPr>
            </w:pPr>
            <w:r w:rsidRPr="0006627D">
              <w:rPr>
                <w:rFonts w:ascii="Arial" w:eastAsia="Times New Roman" w:hAnsi="Arial" w:cs="Arial"/>
                <w:sz w:val="20"/>
                <w:szCs w:val="20"/>
              </w:rPr>
              <w:t>non indica correttamente l’importo (ove necessario)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pPr>
              <w:pStyle w:val="Paragrafoelenco"/>
              <w:numPr>
                <w:ilvl w:val="0"/>
                <w:numId w:val="1"/>
              </w:numPr>
            </w:pPr>
            <w:r>
              <w:t>mancano i riferimenti alla tracciabilità dei flussi finanziari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Il provvedimento non è coerente con il Piano Esecutivo di Gestione e delle Performance 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Pr="00B35951" w:rsidRDefault="00C73002" w:rsidP="00C861C1">
            <w:pPr>
              <w:rPr>
                <w:b/>
              </w:rPr>
            </w:pPr>
            <w:r w:rsidRPr="00B35951">
              <w:rPr>
                <w:rFonts w:ascii="Arial" w:eastAsia="Times New Roman" w:hAnsi="Arial" w:cs="Arial"/>
                <w:b/>
              </w:rPr>
              <w:t>Motivazione - Presupposti di fatto e di diritto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Pr="001475BB" w:rsidRDefault="00C73002" w:rsidP="00C861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75BB">
              <w:rPr>
                <w:rFonts w:ascii="Arial" w:eastAsia="Times New Roman" w:hAnsi="Arial" w:cs="Arial"/>
                <w:sz w:val="20"/>
                <w:szCs w:val="20"/>
              </w:rPr>
              <w:t>Manca o è carente la descrizione del contesto in relazione alla quale si adotta</w:t>
            </w:r>
          </w:p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l’atto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 sono indicate le ragioni specifiche per le quali deve essere adottato il provvedimento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Mancato o errato richiamo di leggi statali e regionali, statuto, regolamenti, mancato richiamo al bilancio di previsione e al PEG, a precedenti delibera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z</w:t>
            </w:r>
            <w:r w:rsidRPr="001475BB">
              <w:rPr>
                <w:rFonts w:ascii="Arial" w:eastAsia="Times New Roman" w:hAnsi="Arial" w:cs="Arial"/>
                <w:sz w:val="20"/>
                <w:szCs w:val="20"/>
              </w:rPr>
              <w:t>ioni/determinazioni a cui si richiama la decisione</w:t>
            </w:r>
          </w:p>
        </w:tc>
        <w:tc>
          <w:tcPr>
            <w:tcW w:w="2015" w:type="dxa"/>
          </w:tcPr>
          <w:p w:rsidR="00C73002" w:rsidRDefault="009743C0" w:rsidP="00C861C1">
            <w:r>
              <w:t>x</w:t>
            </w:r>
          </w:p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 è esplicitata chiaramente la correlazione tra i presupposti di fatto e i presupposti normativi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 è esplicitata chiaramente la volontà dell’amministrazione a provvedere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Pr="001475BB" w:rsidRDefault="00C73002" w:rsidP="00C861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Non sono precisate le </w:t>
            </w:r>
          </w:p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modalità concrete di realizzazione dell’intervento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 è individuato chiaramente il soggetto rispetto al quale il provvedimento è adottato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Manca di supporto documentale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Mancano i riferimenti alle convenzioni CONSIP (per acquisto di beni e servizi)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al MEPA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Mancano i termini per presentare il ricorso e l’autorità competente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 ove sia necessario apporli)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RPr="00E24B7D" w:rsidTr="00C861C1">
        <w:trPr>
          <w:trHeight w:val="735"/>
        </w:trPr>
        <w:tc>
          <w:tcPr>
            <w:tcW w:w="7763" w:type="dxa"/>
          </w:tcPr>
          <w:p w:rsidR="00C73002" w:rsidRPr="00B307A6" w:rsidRDefault="00C73002" w:rsidP="00C861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73002" w:rsidRPr="00B307A6" w:rsidRDefault="00C73002" w:rsidP="00C861C1">
            <w:pPr>
              <w:rPr>
                <w:sz w:val="20"/>
                <w:szCs w:val="20"/>
              </w:rPr>
            </w:pPr>
            <w:r w:rsidRPr="00B307A6">
              <w:rPr>
                <w:rFonts w:ascii="Arial" w:eastAsia="Times New Roman" w:hAnsi="Arial" w:cs="Arial"/>
                <w:sz w:val="20"/>
                <w:szCs w:val="20"/>
              </w:rPr>
              <w:t>manca il durc e/o il conto corrente dedicato</w:t>
            </w:r>
          </w:p>
        </w:tc>
        <w:tc>
          <w:tcPr>
            <w:tcW w:w="2015" w:type="dxa"/>
          </w:tcPr>
          <w:p w:rsidR="00C73002" w:rsidRPr="00E24B7D" w:rsidRDefault="00C73002" w:rsidP="00C861C1"/>
        </w:tc>
      </w:tr>
      <w:tr w:rsidR="00C73002" w:rsidRPr="00E24B7D" w:rsidTr="00C861C1">
        <w:trPr>
          <w:trHeight w:val="735"/>
        </w:trPr>
        <w:tc>
          <w:tcPr>
            <w:tcW w:w="7763" w:type="dxa"/>
          </w:tcPr>
          <w:p w:rsidR="00C73002" w:rsidRPr="00B307A6" w:rsidRDefault="00C73002" w:rsidP="00C861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07A6">
              <w:rPr>
                <w:rFonts w:ascii="Arial" w:eastAsia="Times New Roman" w:hAnsi="Arial" w:cs="Arial"/>
                <w:sz w:val="20"/>
                <w:szCs w:val="20"/>
              </w:rPr>
              <w:t>Manca il CIG</w:t>
            </w:r>
          </w:p>
        </w:tc>
        <w:tc>
          <w:tcPr>
            <w:tcW w:w="2015" w:type="dxa"/>
          </w:tcPr>
          <w:p w:rsidR="00C73002" w:rsidRPr="00E24B7D" w:rsidRDefault="00C73002" w:rsidP="00C861C1"/>
        </w:tc>
      </w:tr>
      <w:tr w:rsidR="00C73002" w:rsidTr="00C861C1">
        <w:trPr>
          <w:trHeight w:val="735"/>
        </w:trPr>
        <w:tc>
          <w:tcPr>
            <w:tcW w:w="7763" w:type="dxa"/>
          </w:tcPr>
          <w:p w:rsidR="00C73002" w:rsidRPr="001475BB" w:rsidRDefault="00C73002" w:rsidP="00C861C1">
            <w:pPr>
              <w:rPr>
                <w:rFonts w:ascii="Arial" w:eastAsia="Times New Roman" w:hAnsi="Arial" w:cs="Arial"/>
              </w:rPr>
            </w:pPr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Non sono riportati tutti i pareri e le attestazioni necessarie per la corretta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</w:t>
            </w:r>
            <w:r w:rsidRPr="001475BB">
              <w:rPr>
                <w:rFonts w:ascii="Arial" w:eastAsia="Times New Roman" w:hAnsi="Arial" w:cs="Arial"/>
                <w:sz w:val="20"/>
                <w:szCs w:val="20"/>
              </w:rPr>
              <w:t>mpostazione dell’istruttoria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Manca il visto di regolarità contabile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Pr="00B35951" w:rsidRDefault="00C73002" w:rsidP="00C861C1">
            <w:pPr>
              <w:rPr>
                <w:b/>
              </w:rPr>
            </w:pPr>
            <w:r w:rsidRPr="00B35951">
              <w:rPr>
                <w:rFonts w:ascii="Arial" w:eastAsia="Times New Roman" w:hAnsi="Arial" w:cs="Arial"/>
                <w:b/>
              </w:rPr>
              <w:t>Dispositivo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Non esplicita chiaramente la decisione e tutti gli elementi complementari quali la modalità di esecuzione della stessa, i riferimenti ai soggetti interessati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Pr="001475BB" w:rsidRDefault="00C73002" w:rsidP="00C861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Non consente un immediato e chiaro collegamento con l’iter logico esplicitato in </w:t>
            </w:r>
          </w:p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>premessa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 w:rsidRPr="001475BB">
              <w:rPr>
                <w:rFonts w:ascii="Arial" w:eastAsia="Times New Roman" w:hAnsi="Arial" w:cs="Arial"/>
                <w:sz w:val="20"/>
                <w:szCs w:val="20"/>
              </w:rPr>
              <w:t xml:space="preserve">Non rende conto, dettagliatamente, degli elementi già considerati e delle componenti contabili 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>
              <w:rPr>
                <w:rFonts w:ascii="Arial" w:eastAsia="Times New Roman" w:hAnsi="Arial" w:cs="Arial"/>
              </w:rPr>
              <w:t>Non appaiono rispettati i termini di conclusione del procedimento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Pr="00B35951" w:rsidRDefault="00C73002" w:rsidP="00C861C1">
            <w:pPr>
              <w:rPr>
                <w:b/>
              </w:rPr>
            </w:pPr>
            <w:r w:rsidRPr="00B35951">
              <w:rPr>
                <w:b/>
              </w:rPr>
              <w:t>Pubblicazione</w:t>
            </w:r>
          </w:p>
        </w:tc>
        <w:tc>
          <w:tcPr>
            <w:tcW w:w="2015" w:type="dxa"/>
          </w:tcPr>
          <w:p w:rsidR="00C73002" w:rsidRDefault="00C73002" w:rsidP="00C861C1"/>
        </w:tc>
      </w:tr>
      <w:tr w:rsidR="00C73002" w:rsidTr="00C861C1">
        <w:tc>
          <w:tcPr>
            <w:tcW w:w="7763" w:type="dxa"/>
          </w:tcPr>
          <w:p w:rsidR="00C73002" w:rsidRDefault="00C73002" w:rsidP="00C861C1">
            <w:r>
              <w:lastRenderedPageBreak/>
              <w:t>Mancata esplicitazione dell’adempimento di cui agli artt. 26 e 27 D.lgs 33/2013</w:t>
            </w:r>
          </w:p>
        </w:tc>
        <w:tc>
          <w:tcPr>
            <w:tcW w:w="2015" w:type="dxa"/>
          </w:tcPr>
          <w:p w:rsidR="00C73002" w:rsidRDefault="00C73002" w:rsidP="00C861C1"/>
        </w:tc>
      </w:tr>
    </w:tbl>
    <w:p w:rsidR="005A4AC2" w:rsidRDefault="00C73002" w:rsidP="00C73002">
      <w:r>
        <w:t>Osservazioni</w:t>
      </w:r>
      <w:r w:rsidR="00B904BF">
        <w:t xml:space="preserve"> </w:t>
      </w:r>
      <w:r w:rsidR="00215A51">
        <w:t xml:space="preserve">Si </w:t>
      </w:r>
      <w:r w:rsidR="0044705C">
        <w:t xml:space="preserve">ritiene che l’atto dovesse essere adottato da altro capo settore, tenuto conto che la parte economica del personale è gestita </w:t>
      </w:r>
      <w:r w:rsidR="009743C0">
        <w:t>dal</w:t>
      </w:r>
      <w:r w:rsidR="0044705C">
        <w:t xml:space="preserve"> settore</w:t>
      </w:r>
      <w:r w:rsidR="009743C0">
        <w:t xml:space="preserve"> tributi</w:t>
      </w:r>
      <w:r w:rsidR="0044705C">
        <w:t xml:space="preserve">. </w:t>
      </w:r>
      <w:r w:rsidR="009743C0">
        <w:t xml:space="preserve">Non è opportuno che </w:t>
      </w:r>
      <w:r w:rsidR="0044705C">
        <w:t xml:space="preserve">Il </w:t>
      </w:r>
      <w:r w:rsidR="009743C0">
        <w:t xml:space="preserve">procedimento di </w:t>
      </w:r>
      <w:r w:rsidR="0044705C">
        <w:t xml:space="preserve">controllo delle somme da rimborsare al Comune di appartenenza </w:t>
      </w:r>
      <w:r w:rsidR="009743C0">
        <w:t>sia</w:t>
      </w:r>
      <w:r w:rsidR="0044705C">
        <w:t xml:space="preserve"> disposto dallo stesso impiegato </w:t>
      </w:r>
      <w:r w:rsidR="009743C0">
        <w:t>fruitore finale dei compensi</w:t>
      </w:r>
      <w:r w:rsidR="0044705C">
        <w:t xml:space="preserve">. </w:t>
      </w:r>
      <w:r w:rsidR="009743C0">
        <w:t>Pertanto, si invia l’atto in questione al capo settore tributi per i controlli di competenza.</w:t>
      </w:r>
    </w:p>
    <w:p w:rsidR="00C73002" w:rsidRDefault="00C73002" w:rsidP="005A4AC2">
      <w:pPr>
        <w:jc w:val="right"/>
      </w:pPr>
      <w:r>
        <w:t>IL SEGRETARIO COMUNALE</w:t>
      </w:r>
    </w:p>
    <w:p w:rsidR="005507E7" w:rsidRDefault="005507E7" w:rsidP="005A4AC2">
      <w:pPr>
        <w:jc w:val="right"/>
      </w:pPr>
      <w:r>
        <w:t>F.TO</w:t>
      </w:r>
    </w:p>
    <w:sectPr w:rsidR="005507E7" w:rsidSect="00CF44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13E" w:rsidRDefault="0035113E" w:rsidP="00571030">
      <w:pPr>
        <w:spacing w:after="0" w:line="240" w:lineRule="auto"/>
      </w:pPr>
      <w:r>
        <w:separator/>
      </w:r>
    </w:p>
  </w:endnote>
  <w:endnote w:type="continuationSeparator" w:id="0">
    <w:p w:rsidR="0035113E" w:rsidRDefault="0035113E" w:rsidP="00571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13E" w:rsidRDefault="0035113E" w:rsidP="00571030">
      <w:pPr>
        <w:spacing w:after="0" w:line="240" w:lineRule="auto"/>
      </w:pPr>
      <w:r>
        <w:separator/>
      </w:r>
    </w:p>
  </w:footnote>
  <w:footnote w:type="continuationSeparator" w:id="0">
    <w:p w:rsidR="0035113E" w:rsidRDefault="0035113E" w:rsidP="00571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7463E"/>
    <w:multiLevelType w:val="hybridMultilevel"/>
    <w:tmpl w:val="4C7A3DBE"/>
    <w:lvl w:ilvl="0" w:tplc="D7A8C5D0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BB"/>
    <w:rsid w:val="00000C61"/>
    <w:rsid w:val="000308B1"/>
    <w:rsid w:val="0006627D"/>
    <w:rsid w:val="00090706"/>
    <w:rsid w:val="000E0189"/>
    <w:rsid w:val="00111AB6"/>
    <w:rsid w:val="001475BB"/>
    <w:rsid w:val="0015484A"/>
    <w:rsid w:val="001E063F"/>
    <w:rsid w:val="00215A51"/>
    <w:rsid w:val="0025457B"/>
    <w:rsid w:val="002C1E01"/>
    <w:rsid w:val="00325005"/>
    <w:rsid w:val="00331847"/>
    <w:rsid w:val="0035113E"/>
    <w:rsid w:val="0039736C"/>
    <w:rsid w:val="003B16C7"/>
    <w:rsid w:val="0044705C"/>
    <w:rsid w:val="005507E7"/>
    <w:rsid w:val="00571030"/>
    <w:rsid w:val="005A4AC2"/>
    <w:rsid w:val="005D22D3"/>
    <w:rsid w:val="005E11A0"/>
    <w:rsid w:val="006C6C4C"/>
    <w:rsid w:val="007151B3"/>
    <w:rsid w:val="00717C1C"/>
    <w:rsid w:val="0078461D"/>
    <w:rsid w:val="007B269C"/>
    <w:rsid w:val="007B3D17"/>
    <w:rsid w:val="007D1E67"/>
    <w:rsid w:val="00825811"/>
    <w:rsid w:val="0087592E"/>
    <w:rsid w:val="008F32A1"/>
    <w:rsid w:val="009366F1"/>
    <w:rsid w:val="009743C0"/>
    <w:rsid w:val="009A0F13"/>
    <w:rsid w:val="009F7270"/>
    <w:rsid w:val="00A61412"/>
    <w:rsid w:val="00A810D8"/>
    <w:rsid w:val="00B35951"/>
    <w:rsid w:val="00B904BF"/>
    <w:rsid w:val="00C43437"/>
    <w:rsid w:val="00C54B76"/>
    <w:rsid w:val="00C73002"/>
    <w:rsid w:val="00C87BC8"/>
    <w:rsid w:val="00C91E49"/>
    <w:rsid w:val="00CA1B08"/>
    <w:rsid w:val="00CF2A05"/>
    <w:rsid w:val="00CF44E7"/>
    <w:rsid w:val="00D55896"/>
    <w:rsid w:val="00D7047E"/>
    <w:rsid w:val="00D74613"/>
    <w:rsid w:val="00DC7A05"/>
    <w:rsid w:val="00DC7CC0"/>
    <w:rsid w:val="00DE695A"/>
    <w:rsid w:val="00EC252B"/>
    <w:rsid w:val="00F5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A7AD88-BB36-48E6-B169-FE630DD53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44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47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475B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710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1030"/>
  </w:style>
  <w:style w:type="paragraph" w:styleId="Pidipagina">
    <w:name w:val="footer"/>
    <w:basedOn w:val="Normale"/>
    <w:link w:val="PidipaginaCarattere"/>
    <w:uiPriority w:val="99"/>
    <w:unhideWhenUsed/>
    <w:rsid w:val="005710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1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5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60C2B-5C36-4DD5-8BCA-3C72FD600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Dorotea Grasso</cp:lastModifiedBy>
  <cp:revision>5</cp:revision>
  <dcterms:created xsi:type="dcterms:W3CDTF">2017-06-29T14:09:00Z</dcterms:created>
  <dcterms:modified xsi:type="dcterms:W3CDTF">2017-06-29T14:26:00Z</dcterms:modified>
</cp:coreProperties>
</file>