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F9752C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8B124D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="0012758A">
        <w:rPr>
          <w:rFonts w:ascii="Arial" w:eastAsia="Times New Roman" w:hAnsi="Arial" w:cs="Arial"/>
          <w:sz w:val="32"/>
          <w:szCs w:val="32"/>
          <w:lang w:eastAsia="it-IT"/>
        </w:rPr>
        <w:t>4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EF2037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8B124D">
        <w:rPr>
          <w:rFonts w:ascii="Arial" w:eastAsia="Times New Roman" w:hAnsi="Arial" w:cs="Arial"/>
          <w:sz w:val="32"/>
          <w:szCs w:val="32"/>
          <w:lang w:eastAsia="it-IT"/>
        </w:rPr>
        <w:t>7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F9752C">
        <w:rPr>
          <w:rFonts w:ascii="Arial" w:eastAsia="Times New Roman" w:hAnsi="Arial" w:cs="Arial"/>
          <w:sz w:val="32"/>
          <w:szCs w:val="32"/>
          <w:lang w:eastAsia="it-IT"/>
        </w:rPr>
        <w:t>4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CF44E7" w:rsidRDefault="00F40E29">
      <w:bookmarkStart w:id="0" w:name="_GoBack"/>
      <w:bookmarkEnd w:id="0"/>
      <w:r w:rsidRPr="001E6CD0">
        <w:rPr>
          <w:b/>
          <w:bCs/>
        </w:rPr>
        <w:t>LIQUIDAZIONE DI SPESA A FAVORE DELLA DITTA C e G SERVIZI GLOBALI PER LO SVOLGIMENTO DEL SERVIZIO DI REFEZIONE SCOLASTICA MESE DI MARZO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E96064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lastRenderedPageBreak/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F057EB">
        <w:t>.</w:t>
      </w:r>
      <w:r w:rsidR="00F9752C">
        <w:t xml:space="preserve"> </w:t>
      </w:r>
      <w:r w:rsidR="00E96064">
        <w:t>Benché il pagamento sia inferiore a 10.000 euro, si riferisce sempre ad un credito della ditta superiore a tale importo, per cui occorre effettuare la comunicazione all’Agenzia elle Entrate</w:t>
      </w:r>
    </w:p>
    <w:p w:rsidR="00692E63" w:rsidRDefault="001438C2" w:rsidP="00C73002">
      <w:r>
        <w:t>0</w:t>
      </w:r>
      <w:r w:rsidR="00E96064">
        <w:t>5</w:t>
      </w:r>
      <w:r w:rsidR="00692E63">
        <w:t>.</w:t>
      </w:r>
      <w:r>
        <w:t>07.</w:t>
      </w:r>
      <w:r w:rsidR="00692E63">
        <w:t>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95BC2"/>
    <w:rsid w:val="000E0189"/>
    <w:rsid w:val="0012758A"/>
    <w:rsid w:val="001438C2"/>
    <w:rsid w:val="001475BB"/>
    <w:rsid w:val="0015484A"/>
    <w:rsid w:val="001B0A61"/>
    <w:rsid w:val="001B683A"/>
    <w:rsid w:val="001E063F"/>
    <w:rsid w:val="002872BC"/>
    <w:rsid w:val="002C06FC"/>
    <w:rsid w:val="00325005"/>
    <w:rsid w:val="00331847"/>
    <w:rsid w:val="003B16C7"/>
    <w:rsid w:val="003D6722"/>
    <w:rsid w:val="00482ED0"/>
    <w:rsid w:val="005A4AC2"/>
    <w:rsid w:val="005D22D3"/>
    <w:rsid w:val="005E11A0"/>
    <w:rsid w:val="0060250E"/>
    <w:rsid w:val="00690717"/>
    <w:rsid w:val="00692E63"/>
    <w:rsid w:val="006B1C7D"/>
    <w:rsid w:val="006C6C4C"/>
    <w:rsid w:val="00717C1C"/>
    <w:rsid w:val="00736ADF"/>
    <w:rsid w:val="0078461D"/>
    <w:rsid w:val="00817F2B"/>
    <w:rsid w:val="00846080"/>
    <w:rsid w:val="008B124D"/>
    <w:rsid w:val="009366F1"/>
    <w:rsid w:val="009F7270"/>
    <w:rsid w:val="00A06428"/>
    <w:rsid w:val="00A579DE"/>
    <w:rsid w:val="00AA0081"/>
    <w:rsid w:val="00B11178"/>
    <w:rsid w:val="00B35951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562B4"/>
    <w:rsid w:val="00E722C0"/>
    <w:rsid w:val="00E96064"/>
    <w:rsid w:val="00EC146A"/>
    <w:rsid w:val="00EC252B"/>
    <w:rsid w:val="00EF2037"/>
    <w:rsid w:val="00F057EB"/>
    <w:rsid w:val="00F40E29"/>
    <w:rsid w:val="00F47CDE"/>
    <w:rsid w:val="00F554DB"/>
    <w:rsid w:val="00F87C7C"/>
    <w:rsid w:val="00F9752C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9AC1-DA42-4FE7-B685-51B1191C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2016-07-05T10:06:00Z</dcterms:created>
  <dcterms:modified xsi:type="dcterms:W3CDTF">2016-07-05T10:09:00Z</dcterms:modified>
</cp:coreProperties>
</file>