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5BB" w:rsidRPr="001475BB" w:rsidRDefault="001475BB" w:rsidP="001475BB">
      <w:pPr>
        <w:spacing w:after="0" w:line="240" w:lineRule="auto"/>
        <w:rPr>
          <w:rFonts w:ascii="Arial" w:eastAsia="Times New Roman" w:hAnsi="Arial" w:cs="Arial"/>
          <w:sz w:val="32"/>
          <w:szCs w:val="32"/>
          <w:lang w:eastAsia="it-IT"/>
        </w:rPr>
      </w:pPr>
      <w:r w:rsidRPr="001475BB">
        <w:rPr>
          <w:rFonts w:ascii="Arial" w:eastAsia="Times New Roman" w:hAnsi="Arial" w:cs="Arial"/>
          <w:sz w:val="32"/>
          <w:szCs w:val="32"/>
          <w:lang w:eastAsia="it-IT"/>
        </w:rPr>
        <w:t xml:space="preserve">GRIGLIA CONTROLLO per il controllo successivo di regolarità </w:t>
      </w:r>
    </w:p>
    <w:p w:rsidR="00C43437" w:rsidRDefault="001475BB" w:rsidP="00B63E50">
      <w:pPr>
        <w:spacing w:after="0" w:line="240" w:lineRule="auto"/>
      </w:pPr>
      <w:r w:rsidRPr="001475BB">
        <w:rPr>
          <w:rFonts w:ascii="Arial" w:eastAsia="Times New Roman" w:hAnsi="Arial" w:cs="Arial"/>
          <w:sz w:val="32"/>
          <w:szCs w:val="32"/>
          <w:lang w:eastAsia="it-IT"/>
        </w:rPr>
        <w:t xml:space="preserve">amministrativa e contabile </w:t>
      </w:r>
      <w:r w:rsidR="00825811">
        <w:rPr>
          <w:rFonts w:ascii="Arial" w:eastAsia="Times New Roman" w:hAnsi="Arial" w:cs="Arial"/>
          <w:sz w:val="32"/>
          <w:szCs w:val="32"/>
          <w:lang w:eastAsia="it-IT"/>
        </w:rPr>
        <w:t xml:space="preserve">det. </w:t>
      </w:r>
      <w:r w:rsidR="007F034B">
        <w:rPr>
          <w:rFonts w:ascii="Arial" w:eastAsia="Times New Roman" w:hAnsi="Arial" w:cs="Arial"/>
          <w:sz w:val="32"/>
          <w:szCs w:val="32"/>
          <w:lang w:eastAsia="it-IT"/>
        </w:rPr>
        <w:t>60</w:t>
      </w:r>
      <w:r w:rsidR="00B63E50">
        <w:rPr>
          <w:rFonts w:ascii="Arial" w:eastAsia="Times New Roman" w:hAnsi="Arial" w:cs="Arial"/>
          <w:sz w:val="32"/>
          <w:szCs w:val="32"/>
          <w:lang w:eastAsia="it-IT"/>
        </w:rPr>
        <w:t>7</w:t>
      </w:r>
      <w:r w:rsidR="00825811">
        <w:rPr>
          <w:rFonts w:ascii="Arial" w:eastAsia="Times New Roman" w:hAnsi="Arial" w:cs="Arial"/>
          <w:sz w:val="32"/>
          <w:szCs w:val="32"/>
          <w:lang w:eastAsia="it-IT"/>
        </w:rPr>
        <w:t>/2016/AA.GG.</w:t>
      </w:r>
      <w:r w:rsidR="00825811" w:rsidRPr="00825811">
        <w:t xml:space="preserve"> </w:t>
      </w:r>
      <w:r w:rsidR="00B63E50" w:rsidRPr="00B63E50">
        <w:rPr>
          <w:b/>
          <w:bCs/>
        </w:rPr>
        <w:t>ACQUISIZIONE SPETTACOLO MUSICALE PRESSO IL SIG. RUSSO</w:t>
      </w:r>
      <w:r w:rsidR="00DA19B0">
        <w:rPr>
          <w:b/>
          <w:bCs/>
        </w:rPr>
        <w:t xml:space="preserve"> </w:t>
      </w:r>
      <w:r w:rsidR="00B63E50" w:rsidRPr="00B63E50">
        <w:rPr>
          <w:b/>
          <w:bCs/>
        </w:rPr>
        <w:t>SEBASTIANO. SETTIMANA DELLA MUSICA - 2016</w:t>
      </w:r>
    </w:p>
    <w:tbl>
      <w:tblPr>
        <w:tblStyle w:val="Grigliatabella"/>
        <w:tblW w:w="0" w:type="auto"/>
        <w:tblLook w:val="04A0" w:firstRow="1" w:lastRow="0" w:firstColumn="1" w:lastColumn="0" w:noHBand="0" w:noVBand="1"/>
      </w:tblPr>
      <w:tblGrid>
        <w:gridCol w:w="7650"/>
        <w:gridCol w:w="1978"/>
      </w:tblGrid>
      <w:tr w:rsidR="00C73002" w:rsidTr="00C861C1">
        <w:tc>
          <w:tcPr>
            <w:tcW w:w="7763" w:type="dxa"/>
          </w:tcPr>
          <w:p w:rsidR="00C73002" w:rsidRPr="001475BB" w:rsidRDefault="00C73002" w:rsidP="00C861C1">
            <w:pPr>
              <w:rPr>
                <w:rFonts w:ascii="Arial" w:eastAsia="Times New Roman" w:hAnsi="Arial" w:cs="Arial"/>
                <w:sz w:val="24"/>
                <w:szCs w:val="24"/>
              </w:rPr>
            </w:pPr>
            <w:r w:rsidRPr="001475BB">
              <w:rPr>
                <w:rFonts w:ascii="Arial" w:eastAsia="Times New Roman" w:hAnsi="Arial" w:cs="Arial"/>
                <w:sz w:val="24"/>
                <w:szCs w:val="24"/>
              </w:rPr>
              <w:t>Anomalie riscontrate</w:t>
            </w:r>
          </w:p>
          <w:p w:rsidR="00C73002" w:rsidRDefault="00C73002" w:rsidP="00C861C1"/>
        </w:tc>
        <w:tc>
          <w:tcPr>
            <w:tcW w:w="2015" w:type="dxa"/>
          </w:tcPr>
          <w:p w:rsidR="00C73002" w:rsidRPr="001475BB" w:rsidRDefault="00C73002" w:rsidP="00C861C1">
            <w:pPr>
              <w:rPr>
                <w:rFonts w:ascii="Arial" w:eastAsia="Times New Roman" w:hAnsi="Arial" w:cs="Arial"/>
                <w:sz w:val="20"/>
                <w:szCs w:val="20"/>
              </w:rPr>
            </w:pPr>
            <w:r w:rsidRPr="001475BB">
              <w:rPr>
                <w:rFonts w:ascii="Arial" w:eastAsia="Times New Roman" w:hAnsi="Arial" w:cs="Arial"/>
                <w:sz w:val="20"/>
                <w:szCs w:val="20"/>
              </w:rPr>
              <w:t>X</w:t>
            </w:r>
          </w:p>
          <w:p w:rsidR="00C73002" w:rsidRDefault="00C73002" w:rsidP="00C861C1"/>
        </w:tc>
      </w:tr>
      <w:tr w:rsidR="00C73002" w:rsidTr="00C861C1">
        <w:tc>
          <w:tcPr>
            <w:tcW w:w="7763" w:type="dxa"/>
          </w:tcPr>
          <w:p w:rsidR="00C73002" w:rsidRPr="00B35951" w:rsidRDefault="00C73002" w:rsidP="00C861C1">
            <w:pPr>
              <w:rPr>
                <w:rFonts w:ascii="Arial" w:eastAsia="Times New Roman" w:hAnsi="Arial" w:cs="Arial"/>
                <w:b/>
              </w:rPr>
            </w:pPr>
            <w:r w:rsidRPr="00B35951">
              <w:rPr>
                <w:rFonts w:ascii="Arial" w:eastAsia="Times New Roman" w:hAnsi="Arial" w:cs="Arial"/>
                <w:b/>
              </w:rPr>
              <w:t>Oggetto</w:t>
            </w:r>
          </w:p>
          <w:p w:rsidR="00C73002" w:rsidRPr="00B35951" w:rsidRDefault="00C73002" w:rsidP="00C861C1">
            <w:pPr>
              <w:rPr>
                <w:b/>
              </w:rPr>
            </w:pPr>
          </w:p>
        </w:tc>
        <w:tc>
          <w:tcPr>
            <w:tcW w:w="2015" w:type="dxa"/>
          </w:tcPr>
          <w:p w:rsidR="00C73002" w:rsidRDefault="00C73002" w:rsidP="00C861C1"/>
        </w:tc>
      </w:tr>
      <w:tr w:rsidR="00C73002" w:rsidTr="00C861C1">
        <w:tc>
          <w:tcPr>
            <w:tcW w:w="7763" w:type="dxa"/>
          </w:tcPr>
          <w:p w:rsidR="00C73002" w:rsidRDefault="00C73002" w:rsidP="00C861C1">
            <w:pPr>
              <w:pStyle w:val="Paragrafoelenco"/>
              <w:numPr>
                <w:ilvl w:val="0"/>
                <w:numId w:val="1"/>
              </w:numPr>
            </w:pPr>
            <w:r w:rsidRPr="001475BB">
              <w:rPr>
                <w:rFonts w:ascii="Arial" w:eastAsia="Times New Roman" w:hAnsi="Arial" w:cs="Arial"/>
                <w:sz w:val="20"/>
                <w:szCs w:val="20"/>
              </w:rPr>
              <w:t>non riassume i principali elementi della decisione adottata (dispositivo)</w:t>
            </w:r>
          </w:p>
        </w:tc>
        <w:tc>
          <w:tcPr>
            <w:tcW w:w="2015" w:type="dxa"/>
          </w:tcPr>
          <w:p w:rsidR="00C73002" w:rsidRDefault="00C73002" w:rsidP="00C861C1"/>
        </w:tc>
      </w:tr>
      <w:tr w:rsidR="00C73002" w:rsidTr="00C861C1">
        <w:tc>
          <w:tcPr>
            <w:tcW w:w="7763" w:type="dxa"/>
          </w:tcPr>
          <w:p w:rsidR="00C73002" w:rsidRDefault="00C73002" w:rsidP="00C861C1">
            <w:pPr>
              <w:pStyle w:val="Paragrafoelenco"/>
              <w:numPr>
                <w:ilvl w:val="0"/>
                <w:numId w:val="1"/>
              </w:numPr>
            </w:pPr>
            <w:r w:rsidRPr="001475BB">
              <w:rPr>
                <w:rFonts w:ascii="Arial" w:eastAsia="Times New Roman" w:hAnsi="Arial" w:cs="Arial"/>
                <w:sz w:val="20"/>
                <w:szCs w:val="20"/>
              </w:rPr>
              <w:t>non indica i soggetti eventualmente interessati dal provvedimento</w:t>
            </w:r>
          </w:p>
        </w:tc>
        <w:tc>
          <w:tcPr>
            <w:tcW w:w="2015" w:type="dxa"/>
          </w:tcPr>
          <w:p w:rsidR="00C73002" w:rsidRDefault="00C73002" w:rsidP="00C861C1"/>
        </w:tc>
      </w:tr>
      <w:tr w:rsidR="00C73002" w:rsidTr="00C861C1">
        <w:tc>
          <w:tcPr>
            <w:tcW w:w="7763" w:type="dxa"/>
          </w:tcPr>
          <w:p w:rsidR="00C73002" w:rsidRDefault="00C73002" w:rsidP="00C861C1">
            <w:pPr>
              <w:pStyle w:val="Paragrafoelenco"/>
              <w:numPr>
                <w:ilvl w:val="0"/>
                <w:numId w:val="1"/>
              </w:numPr>
            </w:pPr>
            <w:r w:rsidRPr="001475BB">
              <w:rPr>
                <w:rFonts w:ascii="Arial" w:eastAsia="Times New Roman" w:hAnsi="Arial" w:cs="Arial"/>
                <w:sz w:val="20"/>
                <w:szCs w:val="20"/>
              </w:rPr>
              <w:t>non rispetta le forme di tutela della privacy (ove necessario)</w:t>
            </w:r>
          </w:p>
        </w:tc>
        <w:tc>
          <w:tcPr>
            <w:tcW w:w="2015" w:type="dxa"/>
          </w:tcPr>
          <w:p w:rsidR="00C73002" w:rsidRDefault="00C73002" w:rsidP="00C861C1"/>
        </w:tc>
      </w:tr>
      <w:tr w:rsidR="00C73002" w:rsidTr="00C861C1">
        <w:tc>
          <w:tcPr>
            <w:tcW w:w="7763" w:type="dxa"/>
          </w:tcPr>
          <w:p w:rsidR="00C73002" w:rsidRDefault="00C73002" w:rsidP="00C861C1">
            <w:pPr>
              <w:pStyle w:val="Paragrafoelenco"/>
              <w:numPr>
                <w:ilvl w:val="0"/>
                <w:numId w:val="1"/>
              </w:numPr>
            </w:pPr>
            <w:r w:rsidRPr="0006627D">
              <w:rPr>
                <w:rFonts w:ascii="Arial" w:eastAsia="Times New Roman" w:hAnsi="Arial" w:cs="Arial"/>
                <w:sz w:val="20"/>
                <w:szCs w:val="20"/>
              </w:rPr>
              <w:t>non indica correttamente l’importo (ove necessario)</w:t>
            </w:r>
          </w:p>
        </w:tc>
        <w:tc>
          <w:tcPr>
            <w:tcW w:w="2015" w:type="dxa"/>
          </w:tcPr>
          <w:p w:rsidR="00C73002" w:rsidRDefault="00C73002" w:rsidP="00C861C1"/>
        </w:tc>
      </w:tr>
      <w:tr w:rsidR="00C73002" w:rsidTr="00C861C1">
        <w:tc>
          <w:tcPr>
            <w:tcW w:w="7763" w:type="dxa"/>
          </w:tcPr>
          <w:p w:rsidR="00C73002" w:rsidRDefault="00C73002" w:rsidP="00C861C1">
            <w:pPr>
              <w:pStyle w:val="Paragrafoelenco"/>
              <w:numPr>
                <w:ilvl w:val="0"/>
                <w:numId w:val="1"/>
              </w:numPr>
            </w:pPr>
            <w:r>
              <w:t>mancano i riferimenti alla tracciabilità dei flussi finanziari</w:t>
            </w:r>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 xml:space="preserve">Il provvedimento non è coerente con il Piano Esecutivo di Gestione e delle Performance </w:t>
            </w:r>
          </w:p>
        </w:tc>
        <w:tc>
          <w:tcPr>
            <w:tcW w:w="2015" w:type="dxa"/>
          </w:tcPr>
          <w:p w:rsidR="00C73002" w:rsidRDefault="00C73002" w:rsidP="00C861C1"/>
        </w:tc>
      </w:tr>
      <w:tr w:rsidR="00C73002" w:rsidTr="00C861C1">
        <w:tc>
          <w:tcPr>
            <w:tcW w:w="7763" w:type="dxa"/>
          </w:tcPr>
          <w:p w:rsidR="00C73002" w:rsidRPr="00B35951" w:rsidRDefault="00C73002" w:rsidP="00C861C1">
            <w:pPr>
              <w:rPr>
                <w:b/>
              </w:rPr>
            </w:pPr>
            <w:r w:rsidRPr="00B35951">
              <w:rPr>
                <w:rFonts w:ascii="Arial" w:eastAsia="Times New Roman" w:hAnsi="Arial" w:cs="Arial"/>
                <w:b/>
              </w:rPr>
              <w:t>Motivazione - Presupposti di fatto e di diritto</w:t>
            </w:r>
          </w:p>
        </w:tc>
        <w:tc>
          <w:tcPr>
            <w:tcW w:w="2015" w:type="dxa"/>
          </w:tcPr>
          <w:p w:rsidR="00C73002" w:rsidRDefault="00C73002" w:rsidP="00C861C1"/>
        </w:tc>
      </w:tr>
      <w:tr w:rsidR="00C73002" w:rsidTr="00C861C1">
        <w:tc>
          <w:tcPr>
            <w:tcW w:w="7763" w:type="dxa"/>
          </w:tcPr>
          <w:p w:rsidR="00C73002" w:rsidRPr="001475BB" w:rsidRDefault="00C73002" w:rsidP="00C861C1">
            <w:pPr>
              <w:rPr>
                <w:rFonts w:ascii="Arial" w:eastAsia="Times New Roman" w:hAnsi="Arial" w:cs="Arial"/>
                <w:sz w:val="20"/>
                <w:szCs w:val="20"/>
              </w:rPr>
            </w:pPr>
            <w:r w:rsidRPr="001475BB">
              <w:rPr>
                <w:rFonts w:ascii="Arial" w:eastAsia="Times New Roman" w:hAnsi="Arial" w:cs="Arial"/>
                <w:sz w:val="20"/>
                <w:szCs w:val="20"/>
              </w:rPr>
              <w:t>Manca o è carente la descrizione del contesto in relazione alla quale si adotta</w:t>
            </w:r>
          </w:p>
          <w:p w:rsidR="00C73002" w:rsidRDefault="00C73002" w:rsidP="00C861C1">
            <w:r w:rsidRPr="001475BB">
              <w:rPr>
                <w:rFonts w:ascii="Arial" w:eastAsia="Times New Roman" w:hAnsi="Arial" w:cs="Arial"/>
                <w:sz w:val="20"/>
                <w:szCs w:val="20"/>
              </w:rPr>
              <w:t>l’atto</w:t>
            </w:r>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Non sono indicate le ragioni specifiche per le quali deve essere adottato il provvedimento</w:t>
            </w:r>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Mancato o errato richiamo di leggi statali e regionali, statuto, regolamenti, mancato richiamo al bilancio di previsione e al PEG, a precedenti delibera</w:t>
            </w:r>
            <w:r>
              <w:rPr>
                <w:rFonts w:ascii="Arial" w:eastAsia="Times New Roman" w:hAnsi="Arial" w:cs="Arial"/>
                <w:sz w:val="20"/>
                <w:szCs w:val="20"/>
              </w:rPr>
              <w:t>z</w:t>
            </w:r>
            <w:r w:rsidRPr="001475BB">
              <w:rPr>
                <w:rFonts w:ascii="Arial" w:eastAsia="Times New Roman" w:hAnsi="Arial" w:cs="Arial"/>
                <w:sz w:val="20"/>
                <w:szCs w:val="20"/>
              </w:rPr>
              <w:t>ioni/determinazioni a cui si richiama la decisione</w:t>
            </w:r>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Non è esplicitata chiaramente la correlazione tra i presupposti di fatto e i presupposti normativi</w:t>
            </w:r>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Non è esplicitata chiaramente la volontà dell’amministrazione a provvedere</w:t>
            </w:r>
          </w:p>
        </w:tc>
        <w:tc>
          <w:tcPr>
            <w:tcW w:w="2015" w:type="dxa"/>
          </w:tcPr>
          <w:p w:rsidR="00C73002" w:rsidRDefault="00C73002" w:rsidP="00C861C1"/>
        </w:tc>
      </w:tr>
      <w:tr w:rsidR="00C73002" w:rsidTr="00C861C1">
        <w:tc>
          <w:tcPr>
            <w:tcW w:w="7763" w:type="dxa"/>
          </w:tcPr>
          <w:p w:rsidR="00C73002" w:rsidRPr="001475BB" w:rsidRDefault="00C73002" w:rsidP="00C861C1">
            <w:pPr>
              <w:rPr>
                <w:rFonts w:ascii="Arial" w:eastAsia="Times New Roman" w:hAnsi="Arial" w:cs="Arial"/>
                <w:sz w:val="20"/>
                <w:szCs w:val="20"/>
              </w:rPr>
            </w:pPr>
            <w:r w:rsidRPr="001475BB">
              <w:rPr>
                <w:rFonts w:ascii="Arial" w:eastAsia="Times New Roman" w:hAnsi="Arial" w:cs="Arial"/>
                <w:sz w:val="20"/>
                <w:szCs w:val="20"/>
              </w:rPr>
              <w:t xml:space="preserve">Non sono precisate le </w:t>
            </w:r>
          </w:p>
          <w:p w:rsidR="00C73002" w:rsidRDefault="00C73002" w:rsidP="00C861C1">
            <w:r w:rsidRPr="001475BB">
              <w:rPr>
                <w:rFonts w:ascii="Arial" w:eastAsia="Times New Roman" w:hAnsi="Arial" w:cs="Arial"/>
                <w:sz w:val="20"/>
                <w:szCs w:val="20"/>
              </w:rPr>
              <w:t>modalità concrete di realizzazione dell’intervento</w:t>
            </w:r>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Non è individuato chiaramente il soggetto rispetto al quale il provvedimento è adottato</w:t>
            </w:r>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Manca di supporto documentale</w:t>
            </w:r>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 xml:space="preserve">Mancano i riferimenti alle convenzioni CONSIP (per acquisto di beni e servizi) </w:t>
            </w:r>
            <w:r>
              <w:rPr>
                <w:rFonts w:ascii="Arial" w:eastAsia="Times New Roman" w:hAnsi="Arial" w:cs="Arial"/>
                <w:sz w:val="20"/>
                <w:szCs w:val="20"/>
              </w:rPr>
              <w:t>al MEPA</w:t>
            </w:r>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Mancano i termini per presentare il ricorso e l’autorità competente</w:t>
            </w:r>
            <w:r>
              <w:rPr>
                <w:rFonts w:ascii="Arial" w:eastAsia="Times New Roman" w:hAnsi="Arial" w:cs="Arial"/>
                <w:sz w:val="20"/>
                <w:szCs w:val="20"/>
              </w:rPr>
              <w:t xml:space="preserve"> ( ove sia necessario apporli)</w:t>
            </w:r>
          </w:p>
        </w:tc>
        <w:tc>
          <w:tcPr>
            <w:tcW w:w="2015" w:type="dxa"/>
          </w:tcPr>
          <w:p w:rsidR="00C73002" w:rsidRDefault="00C73002" w:rsidP="00C861C1"/>
        </w:tc>
      </w:tr>
      <w:tr w:rsidR="00C73002" w:rsidRPr="00E24B7D" w:rsidTr="00C861C1">
        <w:trPr>
          <w:trHeight w:val="735"/>
        </w:trPr>
        <w:tc>
          <w:tcPr>
            <w:tcW w:w="7763" w:type="dxa"/>
          </w:tcPr>
          <w:p w:rsidR="00C73002" w:rsidRPr="00B307A6" w:rsidRDefault="00C73002" w:rsidP="00C861C1">
            <w:pPr>
              <w:rPr>
                <w:rFonts w:ascii="Arial" w:eastAsia="Times New Roman" w:hAnsi="Arial" w:cs="Arial"/>
                <w:sz w:val="20"/>
                <w:szCs w:val="20"/>
              </w:rPr>
            </w:pPr>
          </w:p>
          <w:p w:rsidR="00C73002" w:rsidRPr="00B307A6" w:rsidRDefault="00C73002" w:rsidP="00C861C1">
            <w:pPr>
              <w:rPr>
                <w:sz w:val="20"/>
                <w:szCs w:val="20"/>
              </w:rPr>
            </w:pPr>
            <w:r w:rsidRPr="00B307A6">
              <w:rPr>
                <w:rFonts w:ascii="Arial" w:eastAsia="Times New Roman" w:hAnsi="Arial" w:cs="Arial"/>
                <w:sz w:val="20"/>
                <w:szCs w:val="20"/>
              </w:rPr>
              <w:t>manca il durc e/o il conto corrente dedicato</w:t>
            </w:r>
          </w:p>
        </w:tc>
        <w:tc>
          <w:tcPr>
            <w:tcW w:w="2015" w:type="dxa"/>
          </w:tcPr>
          <w:p w:rsidR="00C73002" w:rsidRPr="00E24B7D" w:rsidRDefault="00C73002" w:rsidP="00C861C1"/>
        </w:tc>
      </w:tr>
      <w:tr w:rsidR="00C73002" w:rsidRPr="00E24B7D" w:rsidTr="00C861C1">
        <w:trPr>
          <w:trHeight w:val="735"/>
        </w:trPr>
        <w:tc>
          <w:tcPr>
            <w:tcW w:w="7763" w:type="dxa"/>
          </w:tcPr>
          <w:p w:rsidR="00C73002" w:rsidRPr="00B307A6" w:rsidRDefault="00C73002" w:rsidP="00C861C1">
            <w:pPr>
              <w:rPr>
                <w:rFonts w:ascii="Arial" w:eastAsia="Times New Roman" w:hAnsi="Arial" w:cs="Arial"/>
                <w:sz w:val="20"/>
                <w:szCs w:val="20"/>
              </w:rPr>
            </w:pPr>
            <w:r w:rsidRPr="00B307A6">
              <w:rPr>
                <w:rFonts w:ascii="Arial" w:eastAsia="Times New Roman" w:hAnsi="Arial" w:cs="Arial"/>
                <w:sz w:val="20"/>
                <w:szCs w:val="20"/>
              </w:rPr>
              <w:t>Manca il CIG</w:t>
            </w:r>
          </w:p>
        </w:tc>
        <w:tc>
          <w:tcPr>
            <w:tcW w:w="2015" w:type="dxa"/>
          </w:tcPr>
          <w:p w:rsidR="00C73002" w:rsidRPr="00E24B7D" w:rsidRDefault="00C73002" w:rsidP="00C861C1"/>
        </w:tc>
      </w:tr>
      <w:tr w:rsidR="00C73002" w:rsidTr="00C861C1">
        <w:trPr>
          <w:trHeight w:val="735"/>
        </w:trPr>
        <w:tc>
          <w:tcPr>
            <w:tcW w:w="7763" w:type="dxa"/>
          </w:tcPr>
          <w:p w:rsidR="00C73002" w:rsidRPr="001475BB" w:rsidRDefault="00C73002" w:rsidP="00C861C1">
            <w:pPr>
              <w:rPr>
                <w:rFonts w:ascii="Arial" w:eastAsia="Times New Roman" w:hAnsi="Arial" w:cs="Arial"/>
              </w:rPr>
            </w:pPr>
            <w:r w:rsidRPr="001475BB">
              <w:rPr>
                <w:rFonts w:ascii="Arial" w:eastAsia="Times New Roman" w:hAnsi="Arial" w:cs="Arial"/>
                <w:sz w:val="20"/>
                <w:szCs w:val="20"/>
              </w:rPr>
              <w:t xml:space="preserve">Non sono riportati tutti i pareri e le attestazioni necessarie per la corretta </w:t>
            </w:r>
            <w:r>
              <w:rPr>
                <w:rFonts w:ascii="Arial" w:eastAsia="Times New Roman" w:hAnsi="Arial" w:cs="Arial"/>
                <w:sz w:val="20"/>
                <w:szCs w:val="20"/>
              </w:rPr>
              <w:t xml:space="preserve"> i</w:t>
            </w:r>
            <w:r w:rsidRPr="001475BB">
              <w:rPr>
                <w:rFonts w:ascii="Arial" w:eastAsia="Times New Roman" w:hAnsi="Arial" w:cs="Arial"/>
                <w:sz w:val="20"/>
                <w:szCs w:val="20"/>
              </w:rPr>
              <w:t>mpostazione dell’istruttoria</w:t>
            </w:r>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Manca il visto di regolarità contabile</w:t>
            </w:r>
          </w:p>
        </w:tc>
        <w:tc>
          <w:tcPr>
            <w:tcW w:w="2015" w:type="dxa"/>
          </w:tcPr>
          <w:p w:rsidR="00C73002" w:rsidRDefault="00C73002" w:rsidP="00C861C1"/>
        </w:tc>
      </w:tr>
      <w:tr w:rsidR="00C73002" w:rsidTr="00C861C1">
        <w:tc>
          <w:tcPr>
            <w:tcW w:w="7763" w:type="dxa"/>
          </w:tcPr>
          <w:p w:rsidR="00C73002" w:rsidRPr="00B35951" w:rsidRDefault="00C73002" w:rsidP="00C861C1">
            <w:pPr>
              <w:rPr>
                <w:b/>
              </w:rPr>
            </w:pPr>
            <w:r w:rsidRPr="00B35951">
              <w:rPr>
                <w:rFonts w:ascii="Arial" w:eastAsia="Times New Roman" w:hAnsi="Arial" w:cs="Arial"/>
                <w:b/>
              </w:rPr>
              <w:t>Dispositivo</w:t>
            </w:r>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Non esplicita chiaramente la decisione e tutti gli elementi complementari quali la modalità di esecuzione della stessa, i riferimenti ai soggetti interessati</w:t>
            </w:r>
          </w:p>
        </w:tc>
        <w:tc>
          <w:tcPr>
            <w:tcW w:w="2015" w:type="dxa"/>
          </w:tcPr>
          <w:p w:rsidR="00C73002" w:rsidRDefault="00C73002" w:rsidP="00C861C1"/>
        </w:tc>
      </w:tr>
      <w:tr w:rsidR="00C73002" w:rsidTr="00C861C1">
        <w:tc>
          <w:tcPr>
            <w:tcW w:w="7763" w:type="dxa"/>
          </w:tcPr>
          <w:p w:rsidR="00C73002" w:rsidRPr="001475BB" w:rsidRDefault="00C73002" w:rsidP="00C861C1">
            <w:pPr>
              <w:rPr>
                <w:rFonts w:ascii="Arial" w:eastAsia="Times New Roman" w:hAnsi="Arial" w:cs="Arial"/>
                <w:sz w:val="20"/>
                <w:szCs w:val="20"/>
              </w:rPr>
            </w:pPr>
            <w:r w:rsidRPr="001475BB">
              <w:rPr>
                <w:rFonts w:ascii="Arial" w:eastAsia="Times New Roman" w:hAnsi="Arial" w:cs="Arial"/>
                <w:sz w:val="20"/>
                <w:szCs w:val="20"/>
              </w:rPr>
              <w:t xml:space="preserve">Non consente un immediato e chiaro collegamento con l’iter logico esplicitato in </w:t>
            </w:r>
          </w:p>
          <w:p w:rsidR="00C73002" w:rsidRDefault="00C73002" w:rsidP="00C861C1">
            <w:r w:rsidRPr="001475BB">
              <w:rPr>
                <w:rFonts w:ascii="Arial" w:eastAsia="Times New Roman" w:hAnsi="Arial" w:cs="Arial"/>
                <w:sz w:val="20"/>
                <w:szCs w:val="20"/>
              </w:rPr>
              <w:t>premessa</w:t>
            </w:r>
          </w:p>
        </w:tc>
        <w:tc>
          <w:tcPr>
            <w:tcW w:w="2015" w:type="dxa"/>
          </w:tcPr>
          <w:p w:rsidR="00C73002" w:rsidRDefault="00C73002" w:rsidP="00C861C1"/>
        </w:tc>
      </w:tr>
      <w:tr w:rsidR="00C73002" w:rsidTr="00C861C1">
        <w:tc>
          <w:tcPr>
            <w:tcW w:w="7763" w:type="dxa"/>
          </w:tcPr>
          <w:p w:rsidR="00C73002" w:rsidRDefault="00C73002" w:rsidP="00C861C1">
            <w:r w:rsidRPr="001475BB">
              <w:rPr>
                <w:rFonts w:ascii="Arial" w:eastAsia="Times New Roman" w:hAnsi="Arial" w:cs="Arial"/>
                <w:sz w:val="20"/>
                <w:szCs w:val="20"/>
              </w:rPr>
              <w:t xml:space="preserve">Non rende conto, dettagliatamente, degli elementi già considerati e delle componenti contabili </w:t>
            </w:r>
          </w:p>
        </w:tc>
        <w:tc>
          <w:tcPr>
            <w:tcW w:w="2015" w:type="dxa"/>
          </w:tcPr>
          <w:p w:rsidR="00C73002" w:rsidRDefault="00C73002" w:rsidP="00C861C1"/>
        </w:tc>
      </w:tr>
      <w:tr w:rsidR="00C73002" w:rsidTr="00C861C1">
        <w:tc>
          <w:tcPr>
            <w:tcW w:w="7763" w:type="dxa"/>
          </w:tcPr>
          <w:p w:rsidR="00C73002" w:rsidRDefault="00C73002" w:rsidP="00C861C1">
            <w:r>
              <w:rPr>
                <w:rFonts w:ascii="Arial" w:eastAsia="Times New Roman" w:hAnsi="Arial" w:cs="Arial"/>
              </w:rPr>
              <w:t>Non appaiono rispettati i termini di conclusione del procedimento</w:t>
            </w:r>
          </w:p>
        </w:tc>
        <w:tc>
          <w:tcPr>
            <w:tcW w:w="2015" w:type="dxa"/>
          </w:tcPr>
          <w:p w:rsidR="00C73002" w:rsidRDefault="00C73002" w:rsidP="00C861C1"/>
        </w:tc>
      </w:tr>
      <w:tr w:rsidR="00C73002" w:rsidTr="00C861C1">
        <w:tc>
          <w:tcPr>
            <w:tcW w:w="7763" w:type="dxa"/>
          </w:tcPr>
          <w:p w:rsidR="00C73002" w:rsidRPr="00B35951" w:rsidRDefault="00C73002" w:rsidP="00C861C1">
            <w:pPr>
              <w:rPr>
                <w:b/>
              </w:rPr>
            </w:pPr>
            <w:r w:rsidRPr="00B35951">
              <w:rPr>
                <w:b/>
              </w:rPr>
              <w:t>Pubblicazione</w:t>
            </w:r>
          </w:p>
        </w:tc>
        <w:tc>
          <w:tcPr>
            <w:tcW w:w="2015" w:type="dxa"/>
          </w:tcPr>
          <w:p w:rsidR="00C73002" w:rsidRDefault="00C73002" w:rsidP="00C861C1"/>
        </w:tc>
      </w:tr>
      <w:tr w:rsidR="00C73002" w:rsidTr="00C861C1">
        <w:tc>
          <w:tcPr>
            <w:tcW w:w="7763" w:type="dxa"/>
          </w:tcPr>
          <w:p w:rsidR="00C73002" w:rsidRDefault="00C73002" w:rsidP="00C861C1">
            <w:r>
              <w:t>Mancata esplicitazione dell’adempimento di cui agli artt. 26 e 27 D.lgs 33/2013</w:t>
            </w:r>
          </w:p>
        </w:tc>
        <w:tc>
          <w:tcPr>
            <w:tcW w:w="2015" w:type="dxa"/>
          </w:tcPr>
          <w:p w:rsidR="00C73002" w:rsidRDefault="00C73002" w:rsidP="00C861C1"/>
        </w:tc>
      </w:tr>
    </w:tbl>
    <w:p w:rsidR="005A4AC2" w:rsidRDefault="00C73002" w:rsidP="00C73002">
      <w:r>
        <w:lastRenderedPageBreak/>
        <w:t>Osservazioni</w:t>
      </w:r>
      <w:r w:rsidR="00B904BF">
        <w:t xml:space="preserve"> </w:t>
      </w:r>
      <w:r w:rsidR="00DA19B0" w:rsidRPr="00DA19B0">
        <w:t>Si ritiene indispensabile rivedere il regolamento dei contributi in coerenza con la deliberazione dell’Anac 32 del 20 gennaio 2016. IL rimborso delle spese può avvenire solo dietro rendicontazione delle “spese vive” chiara e puntuale</w:t>
      </w:r>
      <w:bookmarkStart w:id="0" w:name="_GoBack"/>
      <w:bookmarkEnd w:id="0"/>
    </w:p>
    <w:p w:rsidR="00C73002" w:rsidRDefault="00C73002" w:rsidP="005A4AC2">
      <w:pPr>
        <w:jc w:val="right"/>
      </w:pPr>
      <w:r>
        <w:t>IL SEGRETARIO COMUNALE</w:t>
      </w:r>
    </w:p>
    <w:p w:rsidR="005507E7" w:rsidRDefault="005507E7" w:rsidP="005A4AC2">
      <w:pPr>
        <w:jc w:val="right"/>
      </w:pPr>
      <w:r>
        <w:t>F.TO</w:t>
      </w:r>
    </w:p>
    <w:sectPr w:rsidR="005507E7" w:rsidSect="00CF44E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CF2" w:rsidRDefault="00EB6CF2" w:rsidP="00571030">
      <w:pPr>
        <w:spacing w:after="0" w:line="240" w:lineRule="auto"/>
      </w:pPr>
      <w:r>
        <w:separator/>
      </w:r>
    </w:p>
  </w:endnote>
  <w:endnote w:type="continuationSeparator" w:id="0">
    <w:p w:rsidR="00EB6CF2" w:rsidRDefault="00EB6CF2" w:rsidP="0057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CF2" w:rsidRDefault="00EB6CF2" w:rsidP="00571030">
      <w:pPr>
        <w:spacing w:after="0" w:line="240" w:lineRule="auto"/>
      </w:pPr>
      <w:r>
        <w:separator/>
      </w:r>
    </w:p>
  </w:footnote>
  <w:footnote w:type="continuationSeparator" w:id="0">
    <w:p w:rsidR="00EB6CF2" w:rsidRDefault="00EB6CF2" w:rsidP="00571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7463E"/>
    <w:multiLevelType w:val="hybridMultilevel"/>
    <w:tmpl w:val="4C7A3DBE"/>
    <w:lvl w:ilvl="0" w:tplc="D7A8C5D0">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BB"/>
    <w:rsid w:val="00000C61"/>
    <w:rsid w:val="000308B1"/>
    <w:rsid w:val="0006627D"/>
    <w:rsid w:val="00090706"/>
    <w:rsid w:val="000E0189"/>
    <w:rsid w:val="00111AB6"/>
    <w:rsid w:val="001475BB"/>
    <w:rsid w:val="00147B22"/>
    <w:rsid w:val="0015484A"/>
    <w:rsid w:val="001E063F"/>
    <w:rsid w:val="0025457B"/>
    <w:rsid w:val="002C1E01"/>
    <w:rsid w:val="002D6E71"/>
    <w:rsid w:val="00325005"/>
    <w:rsid w:val="00331197"/>
    <w:rsid w:val="00331847"/>
    <w:rsid w:val="00365007"/>
    <w:rsid w:val="0039736C"/>
    <w:rsid w:val="003B16C7"/>
    <w:rsid w:val="004778F5"/>
    <w:rsid w:val="00483794"/>
    <w:rsid w:val="005507E7"/>
    <w:rsid w:val="00571030"/>
    <w:rsid w:val="005A4AC2"/>
    <w:rsid w:val="005D22D3"/>
    <w:rsid w:val="005E11A0"/>
    <w:rsid w:val="006A6AA8"/>
    <w:rsid w:val="006C6C4C"/>
    <w:rsid w:val="006F5A2F"/>
    <w:rsid w:val="007151B3"/>
    <w:rsid w:val="00717C1C"/>
    <w:rsid w:val="0078461D"/>
    <w:rsid w:val="007B269C"/>
    <w:rsid w:val="007B3D17"/>
    <w:rsid w:val="007F034B"/>
    <w:rsid w:val="00825811"/>
    <w:rsid w:val="0087592E"/>
    <w:rsid w:val="008F32A1"/>
    <w:rsid w:val="009366F1"/>
    <w:rsid w:val="009A0F13"/>
    <w:rsid w:val="009F7270"/>
    <w:rsid w:val="00A61412"/>
    <w:rsid w:val="00A810D8"/>
    <w:rsid w:val="00B35951"/>
    <w:rsid w:val="00B63E50"/>
    <w:rsid w:val="00B904BF"/>
    <w:rsid w:val="00C42E9D"/>
    <w:rsid w:val="00C43437"/>
    <w:rsid w:val="00C54B76"/>
    <w:rsid w:val="00C73002"/>
    <w:rsid w:val="00C8110B"/>
    <w:rsid w:val="00C91E49"/>
    <w:rsid w:val="00CA1B08"/>
    <w:rsid w:val="00CF2A05"/>
    <w:rsid w:val="00CF44E7"/>
    <w:rsid w:val="00D22004"/>
    <w:rsid w:val="00D55896"/>
    <w:rsid w:val="00D7047E"/>
    <w:rsid w:val="00D74613"/>
    <w:rsid w:val="00DA19B0"/>
    <w:rsid w:val="00DC7A05"/>
    <w:rsid w:val="00DC7CC0"/>
    <w:rsid w:val="00DE695A"/>
    <w:rsid w:val="00E92295"/>
    <w:rsid w:val="00EB6CF2"/>
    <w:rsid w:val="00EC252B"/>
    <w:rsid w:val="00F554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7AD88-BB36-48E6-B169-FE630DD5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44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4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475BB"/>
    <w:pPr>
      <w:ind w:left="720"/>
      <w:contextualSpacing/>
    </w:pPr>
  </w:style>
  <w:style w:type="paragraph" w:styleId="Intestazione">
    <w:name w:val="header"/>
    <w:basedOn w:val="Normale"/>
    <w:link w:val="IntestazioneCarattere"/>
    <w:uiPriority w:val="99"/>
    <w:unhideWhenUsed/>
    <w:rsid w:val="005710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1030"/>
  </w:style>
  <w:style w:type="paragraph" w:styleId="Pidipagina">
    <w:name w:val="footer"/>
    <w:basedOn w:val="Normale"/>
    <w:link w:val="PidipaginaCarattere"/>
    <w:uiPriority w:val="99"/>
    <w:unhideWhenUsed/>
    <w:rsid w:val="005710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81592">
      <w:bodyDiv w:val="1"/>
      <w:marLeft w:val="0"/>
      <w:marRight w:val="0"/>
      <w:marTop w:val="0"/>
      <w:marBottom w:val="0"/>
      <w:divBdr>
        <w:top w:val="none" w:sz="0" w:space="0" w:color="auto"/>
        <w:left w:val="none" w:sz="0" w:space="0" w:color="auto"/>
        <w:bottom w:val="none" w:sz="0" w:space="0" w:color="auto"/>
        <w:right w:val="none" w:sz="0" w:space="0" w:color="auto"/>
      </w:divBdr>
      <w:divsChild>
        <w:div w:id="1710957603">
          <w:marLeft w:val="0"/>
          <w:marRight w:val="0"/>
          <w:marTop w:val="0"/>
          <w:marBottom w:val="0"/>
          <w:divBdr>
            <w:top w:val="none" w:sz="0" w:space="0" w:color="auto"/>
            <w:left w:val="none" w:sz="0" w:space="0" w:color="auto"/>
            <w:bottom w:val="none" w:sz="0" w:space="0" w:color="auto"/>
            <w:right w:val="none" w:sz="0" w:space="0" w:color="auto"/>
          </w:divBdr>
        </w:div>
        <w:div w:id="1948851990">
          <w:marLeft w:val="0"/>
          <w:marRight w:val="0"/>
          <w:marTop w:val="0"/>
          <w:marBottom w:val="0"/>
          <w:divBdr>
            <w:top w:val="none" w:sz="0" w:space="0" w:color="auto"/>
            <w:left w:val="none" w:sz="0" w:space="0" w:color="auto"/>
            <w:bottom w:val="none" w:sz="0" w:space="0" w:color="auto"/>
            <w:right w:val="none" w:sz="0" w:space="0" w:color="auto"/>
          </w:divBdr>
        </w:div>
      </w:divsChild>
    </w:div>
    <w:div w:id="1211115834">
      <w:bodyDiv w:val="1"/>
      <w:marLeft w:val="0"/>
      <w:marRight w:val="0"/>
      <w:marTop w:val="0"/>
      <w:marBottom w:val="0"/>
      <w:divBdr>
        <w:top w:val="none" w:sz="0" w:space="0" w:color="auto"/>
        <w:left w:val="none" w:sz="0" w:space="0" w:color="auto"/>
        <w:bottom w:val="none" w:sz="0" w:space="0" w:color="auto"/>
        <w:right w:val="none" w:sz="0" w:space="0" w:color="auto"/>
      </w:divBdr>
      <w:divsChild>
        <w:div w:id="729618962">
          <w:marLeft w:val="0"/>
          <w:marRight w:val="0"/>
          <w:marTop w:val="0"/>
          <w:marBottom w:val="0"/>
          <w:divBdr>
            <w:top w:val="none" w:sz="0" w:space="0" w:color="auto"/>
            <w:left w:val="none" w:sz="0" w:space="0" w:color="auto"/>
            <w:bottom w:val="none" w:sz="0" w:space="0" w:color="auto"/>
            <w:right w:val="none" w:sz="0" w:space="0" w:color="auto"/>
          </w:divBdr>
        </w:div>
        <w:div w:id="603073576">
          <w:marLeft w:val="0"/>
          <w:marRight w:val="0"/>
          <w:marTop w:val="0"/>
          <w:marBottom w:val="0"/>
          <w:divBdr>
            <w:top w:val="none" w:sz="0" w:space="0" w:color="auto"/>
            <w:left w:val="none" w:sz="0" w:space="0" w:color="auto"/>
            <w:bottom w:val="none" w:sz="0" w:space="0" w:color="auto"/>
            <w:right w:val="none" w:sz="0" w:space="0" w:color="auto"/>
          </w:divBdr>
        </w:div>
        <w:div w:id="270867459">
          <w:marLeft w:val="0"/>
          <w:marRight w:val="0"/>
          <w:marTop w:val="0"/>
          <w:marBottom w:val="0"/>
          <w:divBdr>
            <w:top w:val="none" w:sz="0" w:space="0" w:color="auto"/>
            <w:left w:val="none" w:sz="0" w:space="0" w:color="auto"/>
            <w:bottom w:val="none" w:sz="0" w:space="0" w:color="auto"/>
            <w:right w:val="none" w:sz="0" w:space="0" w:color="auto"/>
          </w:divBdr>
        </w:div>
        <w:div w:id="740719360">
          <w:marLeft w:val="0"/>
          <w:marRight w:val="0"/>
          <w:marTop w:val="0"/>
          <w:marBottom w:val="0"/>
          <w:divBdr>
            <w:top w:val="none" w:sz="0" w:space="0" w:color="auto"/>
            <w:left w:val="none" w:sz="0" w:space="0" w:color="auto"/>
            <w:bottom w:val="none" w:sz="0" w:space="0" w:color="auto"/>
            <w:right w:val="none" w:sz="0" w:space="0" w:color="auto"/>
          </w:divBdr>
        </w:div>
        <w:div w:id="1723022882">
          <w:marLeft w:val="0"/>
          <w:marRight w:val="0"/>
          <w:marTop w:val="0"/>
          <w:marBottom w:val="0"/>
          <w:divBdr>
            <w:top w:val="none" w:sz="0" w:space="0" w:color="auto"/>
            <w:left w:val="none" w:sz="0" w:space="0" w:color="auto"/>
            <w:bottom w:val="none" w:sz="0" w:space="0" w:color="auto"/>
            <w:right w:val="none" w:sz="0" w:space="0" w:color="auto"/>
          </w:divBdr>
        </w:div>
        <w:div w:id="845246161">
          <w:marLeft w:val="0"/>
          <w:marRight w:val="0"/>
          <w:marTop w:val="0"/>
          <w:marBottom w:val="0"/>
          <w:divBdr>
            <w:top w:val="none" w:sz="0" w:space="0" w:color="auto"/>
            <w:left w:val="none" w:sz="0" w:space="0" w:color="auto"/>
            <w:bottom w:val="none" w:sz="0" w:space="0" w:color="auto"/>
            <w:right w:val="none" w:sz="0" w:space="0" w:color="auto"/>
          </w:divBdr>
        </w:div>
        <w:div w:id="2055616764">
          <w:marLeft w:val="0"/>
          <w:marRight w:val="0"/>
          <w:marTop w:val="0"/>
          <w:marBottom w:val="0"/>
          <w:divBdr>
            <w:top w:val="none" w:sz="0" w:space="0" w:color="auto"/>
            <w:left w:val="none" w:sz="0" w:space="0" w:color="auto"/>
            <w:bottom w:val="none" w:sz="0" w:space="0" w:color="auto"/>
            <w:right w:val="none" w:sz="0" w:space="0" w:color="auto"/>
          </w:divBdr>
        </w:div>
        <w:div w:id="724333941">
          <w:marLeft w:val="0"/>
          <w:marRight w:val="0"/>
          <w:marTop w:val="0"/>
          <w:marBottom w:val="0"/>
          <w:divBdr>
            <w:top w:val="none" w:sz="0" w:space="0" w:color="auto"/>
            <w:left w:val="none" w:sz="0" w:space="0" w:color="auto"/>
            <w:bottom w:val="none" w:sz="0" w:space="0" w:color="auto"/>
            <w:right w:val="none" w:sz="0" w:space="0" w:color="auto"/>
          </w:divBdr>
        </w:div>
        <w:div w:id="649014981">
          <w:marLeft w:val="0"/>
          <w:marRight w:val="0"/>
          <w:marTop w:val="0"/>
          <w:marBottom w:val="0"/>
          <w:divBdr>
            <w:top w:val="none" w:sz="0" w:space="0" w:color="auto"/>
            <w:left w:val="none" w:sz="0" w:space="0" w:color="auto"/>
            <w:bottom w:val="none" w:sz="0" w:space="0" w:color="auto"/>
            <w:right w:val="none" w:sz="0" w:space="0" w:color="auto"/>
          </w:divBdr>
        </w:div>
        <w:div w:id="1227492317">
          <w:marLeft w:val="0"/>
          <w:marRight w:val="0"/>
          <w:marTop w:val="0"/>
          <w:marBottom w:val="0"/>
          <w:divBdr>
            <w:top w:val="none" w:sz="0" w:space="0" w:color="auto"/>
            <w:left w:val="none" w:sz="0" w:space="0" w:color="auto"/>
            <w:bottom w:val="none" w:sz="0" w:space="0" w:color="auto"/>
            <w:right w:val="none" w:sz="0" w:space="0" w:color="auto"/>
          </w:divBdr>
        </w:div>
        <w:div w:id="849296459">
          <w:marLeft w:val="0"/>
          <w:marRight w:val="0"/>
          <w:marTop w:val="0"/>
          <w:marBottom w:val="0"/>
          <w:divBdr>
            <w:top w:val="none" w:sz="0" w:space="0" w:color="auto"/>
            <w:left w:val="none" w:sz="0" w:space="0" w:color="auto"/>
            <w:bottom w:val="none" w:sz="0" w:space="0" w:color="auto"/>
            <w:right w:val="none" w:sz="0" w:space="0" w:color="auto"/>
          </w:divBdr>
        </w:div>
        <w:div w:id="784427599">
          <w:marLeft w:val="0"/>
          <w:marRight w:val="0"/>
          <w:marTop w:val="0"/>
          <w:marBottom w:val="0"/>
          <w:divBdr>
            <w:top w:val="none" w:sz="0" w:space="0" w:color="auto"/>
            <w:left w:val="none" w:sz="0" w:space="0" w:color="auto"/>
            <w:bottom w:val="none" w:sz="0" w:space="0" w:color="auto"/>
            <w:right w:val="none" w:sz="0" w:space="0" w:color="auto"/>
          </w:divBdr>
        </w:div>
        <w:div w:id="1920866889">
          <w:marLeft w:val="0"/>
          <w:marRight w:val="0"/>
          <w:marTop w:val="0"/>
          <w:marBottom w:val="0"/>
          <w:divBdr>
            <w:top w:val="none" w:sz="0" w:space="0" w:color="auto"/>
            <w:left w:val="none" w:sz="0" w:space="0" w:color="auto"/>
            <w:bottom w:val="none" w:sz="0" w:space="0" w:color="auto"/>
            <w:right w:val="none" w:sz="0" w:space="0" w:color="auto"/>
          </w:divBdr>
        </w:div>
        <w:div w:id="1909150297">
          <w:marLeft w:val="0"/>
          <w:marRight w:val="0"/>
          <w:marTop w:val="0"/>
          <w:marBottom w:val="0"/>
          <w:divBdr>
            <w:top w:val="none" w:sz="0" w:space="0" w:color="auto"/>
            <w:left w:val="none" w:sz="0" w:space="0" w:color="auto"/>
            <w:bottom w:val="none" w:sz="0" w:space="0" w:color="auto"/>
            <w:right w:val="none" w:sz="0" w:space="0" w:color="auto"/>
          </w:divBdr>
        </w:div>
        <w:div w:id="947664959">
          <w:marLeft w:val="0"/>
          <w:marRight w:val="0"/>
          <w:marTop w:val="0"/>
          <w:marBottom w:val="0"/>
          <w:divBdr>
            <w:top w:val="none" w:sz="0" w:space="0" w:color="auto"/>
            <w:left w:val="none" w:sz="0" w:space="0" w:color="auto"/>
            <w:bottom w:val="none" w:sz="0" w:space="0" w:color="auto"/>
            <w:right w:val="none" w:sz="0" w:space="0" w:color="auto"/>
          </w:divBdr>
        </w:div>
        <w:div w:id="1763603490">
          <w:marLeft w:val="0"/>
          <w:marRight w:val="0"/>
          <w:marTop w:val="0"/>
          <w:marBottom w:val="0"/>
          <w:divBdr>
            <w:top w:val="none" w:sz="0" w:space="0" w:color="auto"/>
            <w:left w:val="none" w:sz="0" w:space="0" w:color="auto"/>
            <w:bottom w:val="none" w:sz="0" w:space="0" w:color="auto"/>
            <w:right w:val="none" w:sz="0" w:space="0" w:color="auto"/>
          </w:divBdr>
        </w:div>
        <w:div w:id="1659573363">
          <w:marLeft w:val="0"/>
          <w:marRight w:val="0"/>
          <w:marTop w:val="0"/>
          <w:marBottom w:val="0"/>
          <w:divBdr>
            <w:top w:val="none" w:sz="0" w:space="0" w:color="auto"/>
            <w:left w:val="none" w:sz="0" w:space="0" w:color="auto"/>
            <w:bottom w:val="none" w:sz="0" w:space="0" w:color="auto"/>
            <w:right w:val="none" w:sz="0" w:space="0" w:color="auto"/>
          </w:divBdr>
        </w:div>
        <w:div w:id="500320904">
          <w:marLeft w:val="0"/>
          <w:marRight w:val="0"/>
          <w:marTop w:val="0"/>
          <w:marBottom w:val="0"/>
          <w:divBdr>
            <w:top w:val="none" w:sz="0" w:space="0" w:color="auto"/>
            <w:left w:val="none" w:sz="0" w:space="0" w:color="auto"/>
            <w:bottom w:val="none" w:sz="0" w:space="0" w:color="auto"/>
            <w:right w:val="none" w:sz="0" w:space="0" w:color="auto"/>
          </w:divBdr>
        </w:div>
        <w:div w:id="1615094003">
          <w:marLeft w:val="0"/>
          <w:marRight w:val="0"/>
          <w:marTop w:val="0"/>
          <w:marBottom w:val="0"/>
          <w:divBdr>
            <w:top w:val="none" w:sz="0" w:space="0" w:color="auto"/>
            <w:left w:val="none" w:sz="0" w:space="0" w:color="auto"/>
            <w:bottom w:val="none" w:sz="0" w:space="0" w:color="auto"/>
            <w:right w:val="none" w:sz="0" w:space="0" w:color="auto"/>
          </w:divBdr>
        </w:div>
        <w:div w:id="1995141706">
          <w:marLeft w:val="0"/>
          <w:marRight w:val="0"/>
          <w:marTop w:val="0"/>
          <w:marBottom w:val="0"/>
          <w:divBdr>
            <w:top w:val="none" w:sz="0" w:space="0" w:color="auto"/>
            <w:left w:val="none" w:sz="0" w:space="0" w:color="auto"/>
            <w:bottom w:val="none" w:sz="0" w:space="0" w:color="auto"/>
            <w:right w:val="none" w:sz="0" w:space="0" w:color="auto"/>
          </w:divBdr>
        </w:div>
        <w:div w:id="866023496">
          <w:marLeft w:val="0"/>
          <w:marRight w:val="0"/>
          <w:marTop w:val="0"/>
          <w:marBottom w:val="0"/>
          <w:divBdr>
            <w:top w:val="none" w:sz="0" w:space="0" w:color="auto"/>
            <w:left w:val="none" w:sz="0" w:space="0" w:color="auto"/>
            <w:bottom w:val="none" w:sz="0" w:space="0" w:color="auto"/>
            <w:right w:val="none" w:sz="0" w:space="0" w:color="auto"/>
          </w:divBdr>
        </w:div>
        <w:div w:id="478573491">
          <w:marLeft w:val="0"/>
          <w:marRight w:val="0"/>
          <w:marTop w:val="0"/>
          <w:marBottom w:val="0"/>
          <w:divBdr>
            <w:top w:val="none" w:sz="0" w:space="0" w:color="auto"/>
            <w:left w:val="none" w:sz="0" w:space="0" w:color="auto"/>
            <w:bottom w:val="none" w:sz="0" w:space="0" w:color="auto"/>
            <w:right w:val="none" w:sz="0" w:space="0" w:color="auto"/>
          </w:divBdr>
        </w:div>
        <w:div w:id="958101413">
          <w:marLeft w:val="0"/>
          <w:marRight w:val="0"/>
          <w:marTop w:val="0"/>
          <w:marBottom w:val="0"/>
          <w:divBdr>
            <w:top w:val="none" w:sz="0" w:space="0" w:color="auto"/>
            <w:left w:val="none" w:sz="0" w:space="0" w:color="auto"/>
            <w:bottom w:val="none" w:sz="0" w:space="0" w:color="auto"/>
            <w:right w:val="none" w:sz="0" w:space="0" w:color="auto"/>
          </w:divBdr>
        </w:div>
        <w:div w:id="581767813">
          <w:marLeft w:val="0"/>
          <w:marRight w:val="0"/>
          <w:marTop w:val="0"/>
          <w:marBottom w:val="0"/>
          <w:divBdr>
            <w:top w:val="none" w:sz="0" w:space="0" w:color="auto"/>
            <w:left w:val="none" w:sz="0" w:space="0" w:color="auto"/>
            <w:bottom w:val="none" w:sz="0" w:space="0" w:color="auto"/>
            <w:right w:val="none" w:sz="0" w:space="0" w:color="auto"/>
          </w:divBdr>
        </w:div>
        <w:div w:id="399138786">
          <w:marLeft w:val="0"/>
          <w:marRight w:val="0"/>
          <w:marTop w:val="0"/>
          <w:marBottom w:val="0"/>
          <w:divBdr>
            <w:top w:val="none" w:sz="0" w:space="0" w:color="auto"/>
            <w:left w:val="none" w:sz="0" w:space="0" w:color="auto"/>
            <w:bottom w:val="none" w:sz="0" w:space="0" w:color="auto"/>
            <w:right w:val="none" w:sz="0" w:space="0" w:color="auto"/>
          </w:divBdr>
        </w:div>
        <w:div w:id="1935703625">
          <w:marLeft w:val="0"/>
          <w:marRight w:val="0"/>
          <w:marTop w:val="0"/>
          <w:marBottom w:val="0"/>
          <w:divBdr>
            <w:top w:val="none" w:sz="0" w:space="0" w:color="auto"/>
            <w:left w:val="none" w:sz="0" w:space="0" w:color="auto"/>
            <w:bottom w:val="none" w:sz="0" w:space="0" w:color="auto"/>
            <w:right w:val="none" w:sz="0" w:space="0" w:color="auto"/>
          </w:divBdr>
        </w:div>
        <w:div w:id="1830944893">
          <w:marLeft w:val="0"/>
          <w:marRight w:val="0"/>
          <w:marTop w:val="0"/>
          <w:marBottom w:val="0"/>
          <w:divBdr>
            <w:top w:val="none" w:sz="0" w:space="0" w:color="auto"/>
            <w:left w:val="none" w:sz="0" w:space="0" w:color="auto"/>
            <w:bottom w:val="none" w:sz="0" w:space="0" w:color="auto"/>
            <w:right w:val="none" w:sz="0" w:space="0" w:color="auto"/>
          </w:divBdr>
        </w:div>
        <w:div w:id="1223253916">
          <w:marLeft w:val="0"/>
          <w:marRight w:val="0"/>
          <w:marTop w:val="0"/>
          <w:marBottom w:val="0"/>
          <w:divBdr>
            <w:top w:val="none" w:sz="0" w:space="0" w:color="auto"/>
            <w:left w:val="none" w:sz="0" w:space="0" w:color="auto"/>
            <w:bottom w:val="none" w:sz="0" w:space="0" w:color="auto"/>
            <w:right w:val="none" w:sz="0" w:space="0" w:color="auto"/>
          </w:divBdr>
        </w:div>
        <w:div w:id="2026208507">
          <w:marLeft w:val="0"/>
          <w:marRight w:val="0"/>
          <w:marTop w:val="0"/>
          <w:marBottom w:val="0"/>
          <w:divBdr>
            <w:top w:val="none" w:sz="0" w:space="0" w:color="auto"/>
            <w:left w:val="none" w:sz="0" w:space="0" w:color="auto"/>
            <w:bottom w:val="none" w:sz="0" w:space="0" w:color="auto"/>
            <w:right w:val="none" w:sz="0" w:space="0" w:color="auto"/>
          </w:divBdr>
        </w:div>
        <w:div w:id="1517377464">
          <w:marLeft w:val="0"/>
          <w:marRight w:val="0"/>
          <w:marTop w:val="0"/>
          <w:marBottom w:val="0"/>
          <w:divBdr>
            <w:top w:val="none" w:sz="0" w:space="0" w:color="auto"/>
            <w:left w:val="none" w:sz="0" w:space="0" w:color="auto"/>
            <w:bottom w:val="none" w:sz="0" w:space="0" w:color="auto"/>
            <w:right w:val="none" w:sz="0" w:space="0" w:color="auto"/>
          </w:divBdr>
        </w:div>
        <w:div w:id="1439983410">
          <w:marLeft w:val="0"/>
          <w:marRight w:val="0"/>
          <w:marTop w:val="0"/>
          <w:marBottom w:val="0"/>
          <w:divBdr>
            <w:top w:val="none" w:sz="0" w:space="0" w:color="auto"/>
            <w:left w:val="none" w:sz="0" w:space="0" w:color="auto"/>
            <w:bottom w:val="none" w:sz="0" w:space="0" w:color="auto"/>
            <w:right w:val="none" w:sz="0" w:space="0" w:color="auto"/>
          </w:divBdr>
        </w:div>
        <w:div w:id="393701943">
          <w:marLeft w:val="0"/>
          <w:marRight w:val="0"/>
          <w:marTop w:val="0"/>
          <w:marBottom w:val="0"/>
          <w:divBdr>
            <w:top w:val="none" w:sz="0" w:space="0" w:color="auto"/>
            <w:left w:val="none" w:sz="0" w:space="0" w:color="auto"/>
            <w:bottom w:val="none" w:sz="0" w:space="0" w:color="auto"/>
            <w:right w:val="none" w:sz="0" w:space="0" w:color="auto"/>
          </w:divBdr>
        </w:div>
        <w:div w:id="1939829547">
          <w:marLeft w:val="0"/>
          <w:marRight w:val="0"/>
          <w:marTop w:val="0"/>
          <w:marBottom w:val="0"/>
          <w:divBdr>
            <w:top w:val="none" w:sz="0" w:space="0" w:color="auto"/>
            <w:left w:val="none" w:sz="0" w:space="0" w:color="auto"/>
            <w:bottom w:val="none" w:sz="0" w:space="0" w:color="auto"/>
            <w:right w:val="none" w:sz="0" w:space="0" w:color="auto"/>
          </w:divBdr>
        </w:div>
        <w:div w:id="1781413673">
          <w:marLeft w:val="0"/>
          <w:marRight w:val="0"/>
          <w:marTop w:val="0"/>
          <w:marBottom w:val="0"/>
          <w:divBdr>
            <w:top w:val="none" w:sz="0" w:space="0" w:color="auto"/>
            <w:left w:val="none" w:sz="0" w:space="0" w:color="auto"/>
            <w:bottom w:val="none" w:sz="0" w:space="0" w:color="auto"/>
            <w:right w:val="none" w:sz="0" w:space="0" w:color="auto"/>
          </w:divBdr>
        </w:div>
        <w:div w:id="683676174">
          <w:marLeft w:val="0"/>
          <w:marRight w:val="0"/>
          <w:marTop w:val="0"/>
          <w:marBottom w:val="0"/>
          <w:divBdr>
            <w:top w:val="none" w:sz="0" w:space="0" w:color="auto"/>
            <w:left w:val="none" w:sz="0" w:space="0" w:color="auto"/>
            <w:bottom w:val="none" w:sz="0" w:space="0" w:color="auto"/>
            <w:right w:val="none" w:sz="0" w:space="0" w:color="auto"/>
          </w:divBdr>
        </w:div>
        <w:div w:id="1086225096">
          <w:marLeft w:val="0"/>
          <w:marRight w:val="0"/>
          <w:marTop w:val="0"/>
          <w:marBottom w:val="0"/>
          <w:divBdr>
            <w:top w:val="none" w:sz="0" w:space="0" w:color="auto"/>
            <w:left w:val="none" w:sz="0" w:space="0" w:color="auto"/>
            <w:bottom w:val="none" w:sz="0" w:space="0" w:color="auto"/>
            <w:right w:val="none" w:sz="0" w:space="0" w:color="auto"/>
          </w:divBdr>
        </w:div>
        <w:div w:id="1711147733">
          <w:marLeft w:val="0"/>
          <w:marRight w:val="0"/>
          <w:marTop w:val="0"/>
          <w:marBottom w:val="0"/>
          <w:divBdr>
            <w:top w:val="none" w:sz="0" w:space="0" w:color="auto"/>
            <w:left w:val="none" w:sz="0" w:space="0" w:color="auto"/>
            <w:bottom w:val="none" w:sz="0" w:space="0" w:color="auto"/>
            <w:right w:val="none" w:sz="0" w:space="0" w:color="auto"/>
          </w:divBdr>
        </w:div>
        <w:div w:id="452017799">
          <w:marLeft w:val="0"/>
          <w:marRight w:val="0"/>
          <w:marTop w:val="0"/>
          <w:marBottom w:val="0"/>
          <w:divBdr>
            <w:top w:val="none" w:sz="0" w:space="0" w:color="auto"/>
            <w:left w:val="none" w:sz="0" w:space="0" w:color="auto"/>
            <w:bottom w:val="none" w:sz="0" w:space="0" w:color="auto"/>
            <w:right w:val="none" w:sz="0" w:space="0" w:color="auto"/>
          </w:divBdr>
        </w:div>
        <w:div w:id="1675768258">
          <w:marLeft w:val="0"/>
          <w:marRight w:val="0"/>
          <w:marTop w:val="0"/>
          <w:marBottom w:val="0"/>
          <w:divBdr>
            <w:top w:val="none" w:sz="0" w:space="0" w:color="auto"/>
            <w:left w:val="none" w:sz="0" w:space="0" w:color="auto"/>
            <w:bottom w:val="none" w:sz="0" w:space="0" w:color="auto"/>
            <w:right w:val="none" w:sz="0" w:space="0" w:color="auto"/>
          </w:divBdr>
        </w:div>
        <w:div w:id="1670519689">
          <w:marLeft w:val="0"/>
          <w:marRight w:val="0"/>
          <w:marTop w:val="0"/>
          <w:marBottom w:val="0"/>
          <w:divBdr>
            <w:top w:val="none" w:sz="0" w:space="0" w:color="auto"/>
            <w:left w:val="none" w:sz="0" w:space="0" w:color="auto"/>
            <w:bottom w:val="none" w:sz="0" w:space="0" w:color="auto"/>
            <w:right w:val="none" w:sz="0" w:space="0" w:color="auto"/>
          </w:divBdr>
        </w:div>
        <w:div w:id="1647397536">
          <w:marLeft w:val="0"/>
          <w:marRight w:val="0"/>
          <w:marTop w:val="0"/>
          <w:marBottom w:val="0"/>
          <w:divBdr>
            <w:top w:val="none" w:sz="0" w:space="0" w:color="auto"/>
            <w:left w:val="none" w:sz="0" w:space="0" w:color="auto"/>
            <w:bottom w:val="none" w:sz="0" w:space="0" w:color="auto"/>
            <w:right w:val="none" w:sz="0" w:space="0" w:color="auto"/>
          </w:divBdr>
        </w:div>
        <w:div w:id="119543870">
          <w:marLeft w:val="0"/>
          <w:marRight w:val="0"/>
          <w:marTop w:val="0"/>
          <w:marBottom w:val="0"/>
          <w:divBdr>
            <w:top w:val="none" w:sz="0" w:space="0" w:color="auto"/>
            <w:left w:val="none" w:sz="0" w:space="0" w:color="auto"/>
            <w:bottom w:val="none" w:sz="0" w:space="0" w:color="auto"/>
            <w:right w:val="none" w:sz="0" w:space="0" w:color="auto"/>
          </w:divBdr>
        </w:div>
        <w:div w:id="22445339">
          <w:marLeft w:val="0"/>
          <w:marRight w:val="0"/>
          <w:marTop w:val="0"/>
          <w:marBottom w:val="0"/>
          <w:divBdr>
            <w:top w:val="none" w:sz="0" w:space="0" w:color="auto"/>
            <w:left w:val="none" w:sz="0" w:space="0" w:color="auto"/>
            <w:bottom w:val="none" w:sz="0" w:space="0" w:color="auto"/>
            <w:right w:val="none" w:sz="0" w:space="0" w:color="auto"/>
          </w:divBdr>
        </w:div>
        <w:div w:id="707992807">
          <w:marLeft w:val="0"/>
          <w:marRight w:val="0"/>
          <w:marTop w:val="0"/>
          <w:marBottom w:val="0"/>
          <w:divBdr>
            <w:top w:val="none" w:sz="0" w:space="0" w:color="auto"/>
            <w:left w:val="none" w:sz="0" w:space="0" w:color="auto"/>
            <w:bottom w:val="none" w:sz="0" w:space="0" w:color="auto"/>
            <w:right w:val="none" w:sz="0" w:space="0" w:color="auto"/>
          </w:divBdr>
        </w:div>
        <w:div w:id="1801529640">
          <w:marLeft w:val="0"/>
          <w:marRight w:val="0"/>
          <w:marTop w:val="0"/>
          <w:marBottom w:val="0"/>
          <w:divBdr>
            <w:top w:val="none" w:sz="0" w:space="0" w:color="auto"/>
            <w:left w:val="none" w:sz="0" w:space="0" w:color="auto"/>
            <w:bottom w:val="none" w:sz="0" w:space="0" w:color="auto"/>
            <w:right w:val="none" w:sz="0" w:space="0" w:color="auto"/>
          </w:divBdr>
        </w:div>
        <w:div w:id="89394325">
          <w:marLeft w:val="0"/>
          <w:marRight w:val="0"/>
          <w:marTop w:val="0"/>
          <w:marBottom w:val="0"/>
          <w:divBdr>
            <w:top w:val="none" w:sz="0" w:space="0" w:color="auto"/>
            <w:left w:val="none" w:sz="0" w:space="0" w:color="auto"/>
            <w:bottom w:val="none" w:sz="0" w:space="0" w:color="auto"/>
            <w:right w:val="none" w:sz="0" w:space="0" w:color="auto"/>
          </w:divBdr>
        </w:div>
        <w:div w:id="1015689172">
          <w:marLeft w:val="0"/>
          <w:marRight w:val="0"/>
          <w:marTop w:val="0"/>
          <w:marBottom w:val="0"/>
          <w:divBdr>
            <w:top w:val="none" w:sz="0" w:space="0" w:color="auto"/>
            <w:left w:val="none" w:sz="0" w:space="0" w:color="auto"/>
            <w:bottom w:val="none" w:sz="0" w:space="0" w:color="auto"/>
            <w:right w:val="none" w:sz="0" w:space="0" w:color="auto"/>
          </w:divBdr>
        </w:div>
        <w:div w:id="1573004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574CE-0549-4405-9989-799EFF01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Dorotea Grasso</cp:lastModifiedBy>
  <cp:revision>3</cp:revision>
  <dcterms:created xsi:type="dcterms:W3CDTF">2017-06-29T14:49:00Z</dcterms:created>
  <dcterms:modified xsi:type="dcterms:W3CDTF">2017-06-29T14:51:00Z</dcterms:modified>
</cp:coreProperties>
</file>